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207C4A">
        <w:rPr>
          <w:rFonts w:asciiTheme="minorHAnsi" w:hAnsiTheme="minorHAnsi" w:cs="Arial"/>
          <w:sz w:val="24"/>
          <w:szCs w:val="24"/>
        </w:rPr>
        <w:t>122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207C4A">
        <w:rPr>
          <w:rFonts w:asciiTheme="minorHAnsi" w:hAnsiTheme="minorHAnsi" w:cs="Arial"/>
          <w:sz w:val="24"/>
          <w:szCs w:val="24"/>
        </w:rPr>
        <w:t>09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207C4A">
        <w:rPr>
          <w:rFonts w:asciiTheme="minorHAnsi" w:hAnsiTheme="minorHAnsi" w:cs="Arial"/>
          <w:sz w:val="24"/>
          <w:szCs w:val="24"/>
        </w:rPr>
        <w:t>maio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207C4A">
        <w:rPr>
          <w:rFonts w:asciiTheme="minorHAnsi" w:hAnsiTheme="minorHAnsi" w:cs="Arial"/>
          <w:sz w:val="24"/>
          <w:szCs w:val="24"/>
        </w:rPr>
        <w:t>36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 xml:space="preserve">temporária de </w:t>
      </w:r>
      <w:r w:rsidR="00763205">
        <w:rPr>
          <w:rFonts w:asciiTheme="minorHAnsi" w:hAnsiTheme="minorHAnsi" w:cs="Arial"/>
          <w:sz w:val="24"/>
          <w:szCs w:val="24"/>
        </w:rPr>
        <w:t xml:space="preserve">Operador de </w:t>
      </w:r>
      <w:r w:rsidR="00207C4A">
        <w:rPr>
          <w:rFonts w:asciiTheme="minorHAnsi" w:hAnsiTheme="minorHAnsi" w:cs="Arial"/>
          <w:sz w:val="24"/>
          <w:szCs w:val="24"/>
        </w:rPr>
        <w:t>Retroescavadeira</w:t>
      </w:r>
      <w:r w:rsidR="0007568A">
        <w:rPr>
          <w:rFonts w:asciiTheme="minorHAnsi" w:hAnsiTheme="minorHAnsi" w:cs="Arial"/>
          <w:sz w:val="24"/>
          <w:szCs w:val="24"/>
        </w:rPr>
        <w:t>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67082E" w:rsidRPr="0067082E" w:rsidRDefault="00CD61AF" w:rsidP="0067082E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07C4A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207C4A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207C4A">
        <w:rPr>
          <w:rFonts w:asciiTheme="minorHAnsi" w:hAnsiTheme="minorHAnsi" w:cs="Arial"/>
          <w:sz w:val="24"/>
          <w:szCs w:val="24"/>
        </w:rPr>
        <w:t xml:space="preserve">contratação de servidores para atuarem </w:t>
      </w:r>
      <w:r w:rsidR="000669E1" w:rsidRPr="0067082E">
        <w:rPr>
          <w:rFonts w:asciiTheme="minorHAnsi" w:hAnsiTheme="minorHAnsi" w:cs="Arial"/>
          <w:sz w:val="24"/>
          <w:szCs w:val="24"/>
        </w:rPr>
        <w:t xml:space="preserve">na </w:t>
      </w:r>
      <w:r w:rsidR="0033429B" w:rsidRPr="0067082E">
        <w:rPr>
          <w:rFonts w:asciiTheme="minorHAnsi" w:hAnsiTheme="minorHAnsi" w:cs="Arial"/>
          <w:sz w:val="24"/>
          <w:szCs w:val="24"/>
        </w:rPr>
        <w:t xml:space="preserve">Secretaria do Interior, </w:t>
      </w:r>
      <w:r w:rsidR="000669E1" w:rsidRPr="0067082E">
        <w:rPr>
          <w:rFonts w:asciiTheme="minorHAnsi" w:hAnsiTheme="minorHAnsi" w:cs="Arial"/>
          <w:sz w:val="24"/>
          <w:szCs w:val="24"/>
        </w:rPr>
        <w:t>pois não há concurso vigente</w:t>
      </w:r>
      <w:r w:rsidR="00C043B9" w:rsidRPr="0067082E">
        <w:rPr>
          <w:rFonts w:asciiTheme="minorHAnsi" w:hAnsiTheme="minorHAnsi" w:cs="Arial"/>
          <w:sz w:val="24"/>
          <w:szCs w:val="24"/>
        </w:rPr>
        <w:t>.</w:t>
      </w:r>
      <w:r w:rsidR="000669E1" w:rsidRPr="0067082E">
        <w:rPr>
          <w:rFonts w:asciiTheme="minorHAnsi" w:hAnsiTheme="minorHAnsi" w:cs="Arial"/>
          <w:sz w:val="24"/>
          <w:szCs w:val="24"/>
        </w:rPr>
        <w:t xml:space="preserve"> </w:t>
      </w:r>
      <w:r w:rsidR="0067082E" w:rsidRPr="0067082E">
        <w:rPr>
          <w:rFonts w:asciiTheme="minorHAnsi" w:hAnsiTheme="minorHAnsi" w:cs="Arial"/>
          <w:sz w:val="24"/>
          <w:szCs w:val="24"/>
        </w:rPr>
        <w:t>Além de termos recebido</w:t>
      </w:r>
      <w:r w:rsidR="0067082E">
        <w:rPr>
          <w:rFonts w:asciiTheme="minorHAnsi" w:hAnsiTheme="minorHAnsi" w:cs="Arial"/>
          <w:sz w:val="24"/>
          <w:szCs w:val="24"/>
        </w:rPr>
        <w:t xml:space="preserve"> uma nova retroescavadeira recentemente devendo ter um novo operador, é importante salientar a extensão territorial do nosso Município. Mais de 2.000 quilômetros de estradas necessitam de constante manutenção. Colabora ainda para a contratação a constante necessidade de redução das horas extras, pois a demanda por serviços existe e o Governo Municipal não pode se eximir de executa-los.</w:t>
      </w:r>
    </w:p>
    <w:p w:rsidR="004620C3" w:rsidRPr="002C18C0" w:rsidRDefault="008A6A64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C18C0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</w:t>
      </w:r>
      <w:r w:rsidR="002C18C0">
        <w:rPr>
          <w:rFonts w:asciiTheme="minorHAnsi" w:hAnsiTheme="minorHAnsi" w:cs="Arial"/>
          <w:sz w:val="24"/>
          <w:szCs w:val="24"/>
        </w:rPr>
        <w:t xml:space="preserve">a inadiável </w:t>
      </w:r>
      <w:r w:rsidR="0067082E">
        <w:rPr>
          <w:rFonts w:asciiTheme="minorHAnsi" w:hAnsiTheme="minorHAnsi" w:cs="Arial"/>
          <w:sz w:val="24"/>
          <w:szCs w:val="24"/>
        </w:rPr>
        <w:t>demanda por estes trabalhadores e os motivos já expostos acima.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207C4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207C4A">
        <w:rPr>
          <w:rFonts w:asciiTheme="minorHAnsi" w:hAnsiTheme="minorHAnsi" w:cs="Arial"/>
          <w:b/>
          <w:sz w:val="24"/>
          <w:szCs w:val="24"/>
        </w:rPr>
        <w:t>36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07C4A">
        <w:rPr>
          <w:rFonts w:asciiTheme="minorHAnsi" w:hAnsiTheme="minorHAnsi" w:cs="Arial"/>
          <w:b/>
          <w:sz w:val="24"/>
          <w:szCs w:val="24"/>
        </w:rPr>
        <w:t>09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07C4A">
        <w:rPr>
          <w:rFonts w:asciiTheme="minorHAnsi" w:hAnsiTheme="minorHAnsi" w:cs="Arial"/>
          <w:b/>
          <w:sz w:val="24"/>
          <w:szCs w:val="24"/>
        </w:rPr>
        <w:t>MAIO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D82CF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</w:t>
      </w:r>
      <w:bookmarkStart w:id="0" w:name="_GoBack"/>
      <w:bookmarkEnd w:id="0"/>
      <w:r w:rsidRPr="000669E1">
        <w:rPr>
          <w:rFonts w:asciiTheme="minorHAnsi" w:hAnsiTheme="minorHAnsi" w:cs="Arial"/>
          <w:sz w:val="24"/>
          <w:szCs w:val="24"/>
        </w:rPr>
        <w:t xml:space="preserve">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207C4A">
        <w:rPr>
          <w:rFonts w:asciiTheme="minorHAnsi" w:hAnsiTheme="minorHAnsi" w:cs="Arial"/>
          <w:sz w:val="24"/>
          <w:szCs w:val="24"/>
        </w:rPr>
        <w:t>2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207C4A">
        <w:rPr>
          <w:rFonts w:asciiTheme="minorHAnsi" w:hAnsiTheme="minorHAnsi" w:cs="Arial"/>
          <w:sz w:val="24"/>
          <w:szCs w:val="24"/>
        </w:rPr>
        <w:t>DOIS) OPERADOR</w:t>
      </w:r>
      <w:r w:rsidR="00FC018A">
        <w:rPr>
          <w:rFonts w:asciiTheme="minorHAnsi" w:hAnsiTheme="minorHAnsi" w:cs="Arial"/>
          <w:sz w:val="24"/>
          <w:szCs w:val="24"/>
        </w:rPr>
        <w:t>ES</w:t>
      </w:r>
      <w:r w:rsidR="00207C4A">
        <w:rPr>
          <w:rFonts w:asciiTheme="minorHAnsi" w:hAnsiTheme="minorHAnsi" w:cs="Arial"/>
          <w:sz w:val="24"/>
          <w:szCs w:val="24"/>
        </w:rPr>
        <w:t xml:space="preserve"> DE RETROESCAVADEIRA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2C18C0">
        <w:rPr>
          <w:rFonts w:asciiTheme="minorHAnsi" w:hAnsiTheme="minorHAnsi" w:cs="Arial"/>
          <w:sz w:val="24"/>
          <w:szCs w:val="24"/>
        </w:rPr>
        <w:t>Obras</w:t>
      </w:r>
      <w:r w:rsidR="00324BCB">
        <w:rPr>
          <w:rFonts w:asciiTheme="minorHAnsi" w:hAnsiTheme="minorHAnsi" w:cs="Arial"/>
          <w:sz w:val="24"/>
          <w:szCs w:val="24"/>
        </w:rPr>
        <w:t xml:space="preserve"> e na Secretaria Municipal do Interior</w:t>
      </w:r>
      <w:r w:rsidR="00CC16A0">
        <w:rPr>
          <w:rFonts w:asciiTheme="minorHAnsi" w:hAnsiTheme="minorHAnsi" w:cs="Arial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559"/>
        <w:gridCol w:w="2160"/>
        <w:gridCol w:w="1491"/>
        <w:gridCol w:w="158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B722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Operador </w:t>
            </w:r>
            <w:r w:rsidR="00207C4A">
              <w:rPr>
                <w:rFonts w:asciiTheme="minorHAnsi" w:hAnsiTheme="minorHAnsi" w:cs="Arial"/>
                <w:sz w:val="21"/>
                <w:szCs w:val="21"/>
              </w:rPr>
              <w:t>de Retroescavadeira</w:t>
            </w:r>
          </w:p>
        </w:tc>
        <w:tc>
          <w:tcPr>
            <w:tcW w:w="1569" w:type="dxa"/>
            <w:vAlign w:val="center"/>
          </w:tcPr>
          <w:p w:rsidR="00CC16A0" w:rsidRPr="00C05090" w:rsidRDefault="001B722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207C4A">
              <w:rPr>
                <w:rFonts w:asciiTheme="minorHAnsi" w:hAnsiTheme="minorHAnsi" w:cs="Arial"/>
                <w:sz w:val="21"/>
                <w:szCs w:val="21"/>
              </w:rPr>
              <w:t>2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 w:rsidR="00207C4A">
              <w:rPr>
                <w:rFonts w:asciiTheme="minorHAnsi" w:hAnsiTheme="minorHAnsi" w:cs="Arial"/>
                <w:sz w:val="21"/>
                <w:szCs w:val="21"/>
              </w:rPr>
              <w:t>dois</w:t>
            </w:r>
            <w:r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DE01E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CC16A0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CC16A0" w:rsidRPr="00C05090" w:rsidRDefault="008329B0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R$ 1.548,55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13 – SECRETARIA MUNICIPAL DO INTERIOR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01 – SECRETARIA DO INTERIOR E ORGAOS AUXILIARES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2.092 – ADMINSITRAÇÃO DE PESSOAL E ENCARGOS DA SEC. DO INTERIOR</w:t>
      </w:r>
    </w:p>
    <w:p w:rsidR="0033429B" w:rsidRDefault="0033429B" w:rsidP="0033429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207C4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13F" w:rsidRDefault="0089613F" w:rsidP="006B02EF">
      <w:r>
        <w:separator/>
      </w:r>
    </w:p>
  </w:endnote>
  <w:endnote w:type="continuationSeparator" w:id="0">
    <w:p w:rsidR="0089613F" w:rsidRDefault="0089613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30A3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30A3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30A3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30A3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13F" w:rsidRDefault="0089613F" w:rsidP="006B02EF">
      <w:r>
        <w:separator/>
      </w:r>
    </w:p>
  </w:footnote>
  <w:footnote w:type="continuationSeparator" w:id="0">
    <w:p w:rsidR="0089613F" w:rsidRDefault="0089613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D2C9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F059-F553-480A-BEC4-3FF1A606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34</cp:revision>
  <cp:lastPrinted>2019-05-09T17:33:00Z</cp:lastPrinted>
  <dcterms:created xsi:type="dcterms:W3CDTF">2019-01-31T13:43:00Z</dcterms:created>
  <dcterms:modified xsi:type="dcterms:W3CDTF">2019-05-09T17:35:00Z</dcterms:modified>
</cp:coreProperties>
</file>