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07E78">
        <w:rPr>
          <w:rFonts w:asciiTheme="minorHAnsi" w:hAnsiTheme="minorHAnsi" w:cs="Arial"/>
          <w:sz w:val="24"/>
          <w:szCs w:val="24"/>
        </w:rPr>
        <w:t>078/2020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407E78">
        <w:rPr>
          <w:rFonts w:asciiTheme="minorHAnsi" w:hAnsiTheme="minorHAnsi" w:cs="Arial"/>
          <w:sz w:val="24"/>
          <w:szCs w:val="24"/>
        </w:rPr>
        <w:t>06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407E78">
        <w:rPr>
          <w:rFonts w:asciiTheme="minorHAnsi" w:hAnsiTheme="minorHAnsi" w:cs="Arial"/>
          <w:sz w:val="24"/>
          <w:szCs w:val="24"/>
        </w:rPr>
        <w:t>abril de 2020.</w:t>
      </w:r>
    </w:p>
    <w:p w:rsidR="00835192" w:rsidRPr="008F7100" w:rsidRDefault="00835192" w:rsidP="008A6A64">
      <w:pPr>
        <w:pStyle w:val="Cabealho"/>
        <w:rPr>
          <w:rFonts w:asciiTheme="minorHAnsi" w:hAnsiTheme="minorHAnsi" w:cs="Arial"/>
          <w:sz w:val="8"/>
          <w:szCs w:val="24"/>
        </w:rPr>
      </w:pP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581C9E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8F7100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>
        <w:rPr>
          <w:rFonts w:asciiTheme="minorHAnsi" w:hAnsiTheme="minorHAnsi"/>
          <w:sz w:val="24"/>
          <w:szCs w:val="24"/>
        </w:rPr>
        <w:t>014/2020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835AD3">
        <w:rPr>
          <w:rFonts w:asciiTheme="minorHAnsi" w:hAnsiTheme="minorHAnsi"/>
          <w:sz w:val="24"/>
          <w:szCs w:val="24"/>
        </w:rPr>
        <w:t>especial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</w:t>
      </w:r>
      <w:r w:rsidR="00407E78">
        <w:rPr>
          <w:rFonts w:asciiTheme="minorHAnsi" w:hAnsiTheme="minorHAnsi"/>
          <w:sz w:val="24"/>
          <w:szCs w:val="24"/>
        </w:rPr>
        <w:t>20</w:t>
      </w:r>
      <w:r w:rsidR="00640FF2" w:rsidRPr="00FC49D5">
        <w:rPr>
          <w:rFonts w:asciiTheme="minorHAnsi" w:hAnsiTheme="minorHAnsi"/>
          <w:sz w:val="24"/>
          <w:szCs w:val="24"/>
        </w:rPr>
        <w:t>.</w:t>
      </w:r>
    </w:p>
    <w:p w:rsidR="00835192" w:rsidRPr="003E322E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 xml:space="preserve">ostrem necessárias no orçamento, caso deste Projeto de Lei. </w:t>
      </w:r>
    </w:p>
    <w:p w:rsidR="008F7100" w:rsidRDefault="0083519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Neste caso específico, trata-se de alteração que visa o atendimento de despesas</w:t>
      </w:r>
      <w:r w:rsidR="00A272F2">
        <w:rPr>
          <w:rFonts w:asciiTheme="minorHAnsi" w:hAnsiTheme="minorHAnsi"/>
          <w:sz w:val="24"/>
          <w:szCs w:val="24"/>
        </w:rPr>
        <w:t xml:space="preserve"> </w:t>
      </w:r>
      <w:r w:rsidR="00407E78">
        <w:rPr>
          <w:rFonts w:asciiTheme="minorHAnsi" w:hAnsiTheme="minorHAnsi"/>
          <w:sz w:val="24"/>
          <w:szCs w:val="24"/>
        </w:rPr>
        <w:t xml:space="preserve">com as emendas impositivas à </w:t>
      </w:r>
      <w:r w:rsidR="00407E78">
        <w:rPr>
          <w:rFonts w:asciiTheme="minorHAnsi" w:hAnsiTheme="minorHAnsi"/>
          <w:sz w:val="24"/>
          <w:szCs w:val="24"/>
        </w:rPr>
        <w:t>Lei Municipal 3.846/2019</w:t>
      </w:r>
      <w:r w:rsidR="00407E78">
        <w:rPr>
          <w:rFonts w:asciiTheme="minorHAnsi" w:hAnsiTheme="minorHAnsi"/>
          <w:sz w:val="24"/>
          <w:szCs w:val="24"/>
        </w:rPr>
        <w:t xml:space="preserve"> – LOA 2020.</w:t>
      </w:r>
    </w:p>
    <w:p w:rsidR="00407E78" w:rsidRDefault="00407E78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Considerando o Ofício 029/2020 desta Casa Legislativa, o qual solicita alteração dos objetos das emendas, passando-as para o enfrentamento da pandemia causada pelo Coronavírus e para as ações voltadas contra a estiagem que nossa assola e após as análises jurídicas e técnicas das Secretarias envolvidas, apresentamos o presente projeto.</w:t>
      </w:r>
    </w:p>
    <w:p w:rsidR="00407E78" w:rsidRDefault="00407E78" w:rsidP="00407E78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</w:t>
      </w:r>
      <w:r w:rsidRPr="00E721DF">
        <w:rPr>
          <w:rFonts w:asciiTheme="minorHAnsi" w:hAnsiTheme="minorHAnsi"/>
          <w:sz w:val="24"/>
          <w:szCs w:val="24"/>
        </w:rPr>
        <w:t xml:space="preserve"> SESSÃO EXTRAORDINÁRIA, </w:t>
      </w:r>
      <w:r>
        <w:rPr>
          <w:rFonts w:asciiTheme="minorHAnsi" w:hAnsiTheme="minorHAnsi"/>
          <w:sz w:val="24"/>
          <w:szCs w:val="24"/>
        </w:rPr>
        <w:t xml:space="preserve">tendo em vista a necessidade de </w:t>
      </w:r>
      <w:r>
        <w:rPr>
          <w:rFonts w:asciiTheme="minorHAnsi" w:hAnsiTheme="minorHAnsi"/>
          <w:sz w:val="24"/>
          <w:szCs w:val="24"/>
        </w:rPr>
        <w:t>urgente de disponibilização dos recursos</w:t>
      </w:r>
      <w:r>
        <w:rPr>
          <w:rFonts w:asciiTheme="minorHAnsi" w:hAnsiTheme="minorHAnsi"/>
          <w:sz w:val="24"/>
          <w:szCs w:val="24"/>
        </w:rPr>
        <w:t>, bem como</w:t>
      </w:r>
      <w:r w:rsidRPr="00E721DF">
        <w:rPr>
          <w:rFonts w:asciiTheme="minorHAnsi" w:hAnsiTheme="minorHAnsi"/>
          <w:sz w:val="24"/>
          <w:szCs w:val="24"/>
        </w:rPr>
        <w:t xml:space="preserve"> o Estado do Rio Grande do Sul estar em situação de Calamidade </w:t>
      </w:r>
      <w:r w:rsidRPr="00E721DF">
        <w:rPr>
          <w:rFonts w:asciiTheme="minorHAnsi" w:hAnsiTheme="minorHAnsi"/>
          <w:sz w:val="24"/>
          <w:szCs w:val="24"/>
        </w:rPr>
        <w:lastRenderedPageBreak/>
        <w:t>Pública devid</w:t>
      </w:r>
      <w:r>
        <w:rPr>
          <w:rFonts w:asciiTheme="minorHAnsi" w:hAnsiTheme="minorHAnsi"/>
          <w:sz w:val="24"/>
          <w:szCs w:val="24"/>
        </w:rPr>
        <w:t xml:space="preserve">o ao contágio pelo Coronavírus e </w:t>
      </w:r>
      <w:r w:rsidRPr="00E721DF">
        <w:rPr>
          <w:rFonts w:asciiTheme="minorHAnsi" w:hAnsiTheme="minorHAnsi"/>
          <w:sz w:val="24"/>
          <w:szCs w:val="24"/>
        </w:rPr>
        <w:t>de acordo com a Resolução de Mesa 002/2020 desta Casa.</w:t>
      </w:r>
    </w:p>
    <w:p w:rsidR="00FA4F63" w:rsidRDefault="00FA4F63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F31853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272F2" w:rsidRDefault="00A272F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272F2" w:rsidRDefault="00A272F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EC387B">
        <w:rPr>
          <w:rFonts w:asciiTheme="minorHAnsi" w:hAnsiTheme="minorHAnsi" w:cs="Arial"/>
          <w:b/>
          <w:sz w:val="24"/>
          <w:szCs w:val="24"/>
        </w:rPr>
        <w:t>14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C387B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C387B">
        <w:rPr>
          <w:rFonts w:asciiTheme="minorHAnsi" w:hAnsiTheme="minorHAnsi" w:cs="Arial"/>
          <w:b/>
          <w:sz w:val="24"/>
          <w:szCs w:val="24"/>
        </w:rPr>
        <w:t>ABRIL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EC387B">
        <w:rPr>
          <w:rFonts w:asciiTheme="minorHAnsi" w:hAnsiTheme="minorHAnsi" w:cs="Arial"/>
          <w:sz w:val="24"/>
          <w:szCs w:val="24"/>
        </w:rPr>
        <w:t>660.000,00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EC387B" w:rsidRPr="00EC387B" w:rsidRDefault="00E1274E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 xml:space="preserve">R$ </w:t>
      </w:r>
      <w:r w:rsidR="00EC387B">
        <w:rPr>
          <w:rFonts w:asciiTheme="minorHAnsi" w:hAnsiTheme="minorHAnsi" w:cs="Arial"/>
          <w:sz w:val="24"/>
          <w:szCs w:val="24"/>
        </w:rPr>
        <w:t>660.000,00 (s</w:t>
      </w:r>
      <w:r w:rsidR="00EC387B" w:rsidRPr="00EC387B">
        <w:rPr>
          <w:rFonts w:asciiTheme="minorHAnsi" w:hAnsiTheme="minorHAnsi" w:cs="Arial"/>
          <w:sz w:val="24"/>
          <w:szCs w:val="24"/>
        </w:rPr>
        <w:t>eiscentos e sessenta mil reais) que será utilizado nas seguintes dotações orçamentárias:</w:t>
      </w: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2386-EMENDAS IMPOSITIVAS -COMBATE COVID-19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106.000,00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EC387B">
        <w:rPr>
          <w:rFonts w:asciiTheme="minorHAnsi" w:hAnsiTheme="minorHAnsi" w:cs="Arial"/>
          <w:sz w:val="24"/>
          <w:szCs w:val="24"/>
        </w:rPr>
        <w:t>24.000,00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r w:rsidRPr="00EC387B">
        <w:rPr>
          <w:rFonts w:asciiTheme="minorHAnsi" w:hAnsiTheme="minorHAnsi" w:cs="Arial"/>
          <w:sz w:val="24"/>
          <w:szCs w:val="24"/>
        </w:rPr>
        <w:t>100.000,00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EC387B">
        <w:rPr>
          <w:rFonts w:asciiTheme="minorHAnsi" w:hAnsiTheme="minorHAnsi" w:cs="Arial"/>
          <w:sz w:val="24"/>
          <w:szCs w:val="24"/>
        </w:rPr>
        <w:t>100.000,00</w:t>
      </w: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1201-MANUTENÇÃO DA SECRETARIA DE ASSISTÊNCIA SOCIAL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2388-EMENDAS IMPOSITIVAS – COMBATE COVID 19/ESTIAGEM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EC387B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EC387B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EC387B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EC387B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EC387B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EC387B">
        <w:rPr>
          <w:rFonts w:asciiTheme="minorHAnsi" w:hAnsiTheme="minorHAnsi" w:cs="Arial"/>
          <w:sz w:val="24"/>
          <w:szCs w:val="24"/>
        </w:rPr>
        <w:t xml:space="preserve">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EC387B">
        <w:rPr>
          <w:rFonts w:asciiTheme="minorHAnsi" w:hAnsiTheme="minorHAnsi" w:cs="Arial"/>
          <w:sz w:val="24"/>
          <w:szCs w:val="24"/>
        </w:rPr>
        <w:t>290.000,00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EC387B">
        <w:rPr>
          <w:rFonts w:asciiTheme="minorHAnsi" w:hAnsiTheme="minorHAnsi" w:cs="Arial"/>
          <w:sz w:val="24"/>
          <w:szCs w:val="24"/>
        </w:rPr>
        <w:t>40.000,00</w:t>
      </w: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</w:t>
      </w: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C387B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 seguinte dotação orçamentária:</w:t>
      </w: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Pr="00EC387B" w:rsidRDefault="00EC387B" w:rsidP="00EC387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9000-ENCARGOS GERAIS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9001-ENCARGOS ESPECIAIS</w:t>
      </w:r>
    </w:p>
    <w:p w:rsidR="00EC387B" w:rsidRPr="00EC387B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0014-RESERVA DE CONTINGÊNCIA</w:t>
      </w:r>
    </w:p>
    <w:p w:rsidR="00F31853" w:rsidRPr="00F31853" w:rsidRDefault="00EC387B" w:rsidP="00EC38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387B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660.000,00</w:t>
      </w:r>
      <w:r w:rsidR="00F31853" w:rsidRPr="00F31853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</w:p>
    <w:p w:rsidR="00EC387B" w:rsidRDefault="00EC387B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EC387B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31853" w:rsidRPr="00F31853" w:rsidRDefault="00F31853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31853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6F1740" w:rsidRDefault="006F1740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EC387B" w:rsidRDefault="00EC387B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3667125</wp:posOffset>
                </wp:positionH>
                <wp:positionV relativeFrom="paragraph">
                  <wp:posOffset>503555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75pt;margin-top:39.6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ERNnv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76" w:rsidRDefault="00CB3576" w:rsidP="006B02EF">
      <w:r>
        <w:separator/>
      </w:r>
    </w:p>
  </w:endnote>
  <w:endnote w:type="continuationSeparator" w:id="0">
    <w:p w:rsidR="00CB3576" w:rsidRDefault="00CB357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C38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C38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C38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C38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76" w:rsidRDefault="00CB3576" w:rsidP="006B02EF">
      <w:r>
        <w:separator/>
      </w:r>
    </w:p>
  </w:footnote>
  <w:footnote w:type="continuationSeparator" w:id="0">
    <w:p w:rsidR="00CB3576" w:rsidRDefault="00CB357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5252-2741-44F3-88D5-BD6E9CC0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30</cp:revision>
  <cp:lastPrinted>2019-10-04T18:38:00Z</cp:lastPrinted>
  <dcterms:created xsi:type="dcterms:W3CDTF">2019-05-03T16:20:00Z</dcterms:created>
  <dcterms:modified xsi:type="dcterms:W3CDTF">2020-04-03T19:01:00Z</dcterms:modified>
</cp:coreProperties>
</file>