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966AF8" w:rsidP="00D36730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8825AB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Alan Menezes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Pr="00D36730" w:rsidRDefault="00966AF8" w:rsidP="00D36730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8825AB" w:rsidRDefault="00966AF8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esta subscreve requer, após ouvido o Plenário,</w:t>
      </w:r>
      <w:r w:rsidR="00011A22">
        <w:rPr>
          <w:rFonts w:ascii="Arial" w:hAnsi="Arial" w:cs="Arial"/>
        </w:rPr>
        <w:t xml:space="preserve"> seja proposta, por esta Casa Legislativa,</w:t>
      </w:r>
      <w:r>
        <w:rPr>
          <w:rFonts w:ascii="Arial" w:hAnsi="Arial" w:cs="Arial"/>
        </w:rPr>
        <w:t xml:space="preserve"> </w:t>
      </w:r>
      <w:r w:rsidR="00011A22" w:rsidRPr="00011A22">
        <w:rPr>
          <w:rFonts w:ascii="Arial" w:hAnsi="Arial" w:cs="Arial"/>
          <w:b/>
        </w:rPr>
        <w:t xml:space="preserve">MOÇÃO DE </w:t>
      </w:r>
      <w:r w:rsidR="00D36730">
        <w:rPr>
          <w:rFonts w:ascii="Arial" w:hAnsi="Arial" w:cs="Arial"/>
          <w:b/>
        </w:rPr>
        <w:t>APOIO</w:t>
      </w:r>
      <w:r w:rsidR="00D36730" w:rsidRPr="008825AB">
        <w:rPr>
          <w:rFonts w:ascii="Arial" w:hAnsi="Arial" w:cs="Arial"/>
          <w:b/>
        </w:rPr>
        <w:t xml:space="preserve"> </w:t>
      </w:r>
      <w:r w:rsidR="008825AB" w:rsidRPr="008825AB">
        <w:rPr>
          <w:rFonts w:ascii="Arial" w:hAnsi="Arial" w:cs="Arial"/>
        </w:rPr>
        <w:t xml:space="preserve">à aprovação da PEC 09/2022 que tramita no Senado Federal. O objetivo é garantir a tramitação e aprovação da PEC 09/2022, que dispõe sobre a responsabilidade financeira da União, corresponsável pelo Sistema Único de Saúde (SUS), na política remuneratória e na valorização dos profissionais que exercem atividades de agente comunitário de saúde e de agente de combate às endemias. 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</w:t>
      </w:r>
      <w:r w:rsidRPr="008825AB">
        <w:rPr>
          <w:rFonts w:ascii="Arial" w:hAnsi="Arial" w:cs="Arial"/>
        </w:rPr>
        <w:t xml:space="preserve"> Moção </w:t>
      </w:r>
      <w:r>
        <w:rPr>
          <w:rFonts w:ascii="Arial" w:hAnsi="Arial" w:cs="Arial"/>
        </w:rPr>
        <w:t>tem por objetivo o apoio à proposta</w:t>
      </w:r>
      <w:r w:rsidRPr="008825AB">
        <w:rPr>
          <w:rFonts w:ascii="Arial" w:hAnsi="Arial" w:cs="Arial"/>
        </w:rPr>
        <w:t xml:space="preserve"> que institui um piso salarial nacional de dois salários mínimos, equivalente a R$ 2.424,00 em 2022, para os agentes comunitários de saúde e de combate às endemias a ser bancado pela União. 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8825AB">
        <w:rPr>
          <w:rFonts w:ascii="Arial" w:hAnsi="Arial" w:cs="Arial"/>
        </w:rPr>
        <w:t xml:space="preserve">O texto, que já foi aprovado pela Câmara dos Deputados, inclui também adicional de insalubridade e aposentadoria especial devido aos riscos inerentes às funções desempenhadas. 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8825AB">
        <w:rPr>
          <w:rFonts w:ascii="Arial" w:hAnsi="Arial" w:cs="Arial"/>
        </w:rPr>
        <w:t xml:space="preserve">De acordo com a proposta, os estados, o Distrito Federal e os municípios deverão estabelecer outras vantagens, incentivos, auxílios, gratificações e indenizações a fim de valorizar o trabalho desses imprescindíveis profissionais. 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8825AB">
        <w:rPr>
          <w:rFonts w:ascii="Arial" w:hAnsi="Arial" w:cs="Arial"/>
        </w:rPr>
        <w:t xml:space="preserve">Os recursos deverão constar no orçamento geral da União com dotação própria e exclusiva e, quando repassados, seja para pagar salários ou qualquer outra </w:t>
      </w:r>
      <w:r w:rsidRPr="008825AB">
        <w:rPr>
          <w:rFonts w:ascii="Arial" w:hAnsi="Arial" w:cs="Arial"/>
        </w:rPr>
        <w:lastRenderedPageBreak/>
        <w:t xml:space="preserve">vantagem a esses agentes, não serão incluídos no cálculo para fins do limite de despesa com pessoal dos estados, do Distrito Federal e dos municípios. 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8825AB">
        <w:rPr>
          <w:rFonts w:ascii="Arial" w:hAnsi="Arial" w:cs="Arial"/>
        </w:rPr>
        <w:t xml:space="preserve">Por fim, a PEC determina ainda que os recursos deverão constar no orçamento geral da União com dotação própria e exclusiva e, quando repassados, seja para pagar salários ou qualquer outra vantagem a esses agentes, não serão incluídos no cálculo para fins do limite de despesa com pessoal dos estados, do Distrito Federal e dos municípios. 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 w:rsidRPr="008825AB">
        <w:rPr>
          <w:rFonts w:ascii="Arial" w:hAnsi="Arial" w:cs="Arial"/>
        </w:rPr>
        <w:t xml:space="preserve">Os agentes comunitários de saúde e de combates às endemias exercem um papel essencial no SUS, são responsáveis diretos na manutenção do elo entre as equipes de saúde e a própria comunidade. </w:t>
      </w:r>
    </w:p>
    <w:p w:rsidR="00D36730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Isto posto, solicito</w:t>
      </w:r>
      <w:r w:rsidRPr="008825AB">
        <w:rPr>
          <w:rFonts w:ascii="Arial" w:hAnsi="Arial" w:cs="Arial"/>
        </w:rPr>
        <w:t xml:space="preserve"> aos senhores parlamentares do município de </w:t>
      </w:r>
      <w:r>
        <w:rPr>
          <w:rFonts w:ascii="Arial" w:hAnsi="Arial" w:cs="Arial"/>
        </w:rPr>
        <w:t>São Jerônimo</w:t>
      </w:r>
      <w:r w:rsidRPr="008825AB">
        <w:rPr>
          <w:rFonts w:ascii="Arial" w:hAnsi="Arial" w:cs="Arial"/>
        </w:rPr>
        <w:t xml:space="preserve"> a adesão nesta Moção, para que possamos deliberar com urgência o encaminhamento ao Senado Federal. Demonstramos todo o nosso apoio para a aprovação desta importante proposta, uma vez que valorizará o trabalho dos agentes de saúde em questão.</w:t>
      </w:r>
    </w:p>
    <w:p w:rsidR="008825AB" w:rsidRDefault="008825AB" w:rsidP="008825AB">
      <w:pPr>
        <w:pStyle w:val="NormalWeb"/>
        <w:shd w:val="clear" w:color="auto" w:fill="FFFFFF"/>
        <w:spacing w:before="0" w:line="360" w:lineRule="auto"/>
        <w:ind w:right="-1" w:firstLine="1134"/>
        <w:jc w:val="both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8825AB"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 xml:space="preserve"> de </w:t>
      </w:r>
      <w:r w:rsidR="008825AB">
        <w:rPr>
          <w:rFonts w:ascii="Arial" w:hAnsi="Arial" w:cs="Arial"/>
          <w:color w:val="000000"/>
        </w:rPr>
        <w:t>abril</w:t>
      </w:r>
      <w:r>
        <w:rPr>
          <w:rFonts w:ascii="Arial" w:hAnsi="Arial" w:cs="Arial"/>
          <w:color w:val="000000"/>
        </w:rPr>
        <w:t xml:space="preserve"> de 202</w:t>
      </w:r>
      <w:r w:rsidR="008825AB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966AF8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</w:t>
      </w:r>
    </w:p>
    <w:p w:rsidR="00AB6509" w:rsidRDefault="00966AF8" w:rsidP="00D36730">
      <w:pPr>
        <w:pStyle w:val="Standard"/>
        <w:spacing w:line="360" w:lineRule="auto"/>
        <w:ind w:right="-1"/>
        <w:jc w:val="center"/>
      </w:pPr>
      <w:bookmarkStart w:id="0" w:name="_GoBack"/>
      <w:bookmarkEnd w:id="0"/>
      <w:r>
        <w:rPr>
          <w:rFonts w:ascii="Arial" w:hAnsi="Arial" w:cs="Arial"/>
          <w:bCs/>
        </w:rPr>
        <w:t>Bancada PSDB</w:t>
      </w:r>
    </w:p>
    <w:sectPr w:rsidR="00AB6509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5F" w:rsidRDefault="00053B5F">
      <w:pPr>
        <w:rPr>
          <w:rFonts w:hint="eastAsia"/>
        </w:rPr>
      </w:pPr>
      <w:r>
        <w:separator/>
      </w:r>
    </w:p>
  </w:endnote>
  <w:endnote w:type="continuationSeparator" w:id="0">
    <w:p w:rsidR="00053B5F" w:rsidRDefault="00053B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5F" w:rsidRDefault="00053B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53B5F" w:rsidRDefault="00053B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053B5F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011A22"/>
    <w:rsid w:val="00053B5F"/>
    <w:rsid w:val="00205B6B"/>
    <w:rsid w:val="00354FE2"/>
    <w:rsid w:val="003E1DED"/>
    <w:rsid w:val="005831A1"/>
    <w:rsid w:val="00701E0A"/>
    <w:rsid w:val="00763E08"/>
    <w:rsid w:val="007715D9"/>
    <w:rsid w:val="0087365B"/>
    <w:rsid w:val="008825AB"/>
    <w:rsid w:val="00966AF8"/>
    <w:rsid w:val="009E00CF"/>
    <w:rsid w:val="00AB6509"/>
    <w:rsid w:val="00AE59C1"/>
    <w:rsid w:val="00BB4ADB"/>
    <w:rsid w:val="00D36730"/>
    <w:rsid w:val="00D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2021-05-31T14:51:00Z</cp:lastPrinted>
  <dcterms:created xsi:type="dcterms:W3CDTF">2022-04-18T16:30:00Z</dcterms:created>
  <dcterms:modified xsi:type="dcterms:W3CDTF">2022-04-18T16:30:00Z</dcterms:modified>
</cp:coreProperties>
</file>