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F86AB8">
        <w:rPr>
          <w:rFonts w:asciiTheme="minorHAnsi" w:hAnsiTheme="minorHAnsi" w:cs="Arial"/>
          <w:b/>
          <w:sz w:val="24"/>
          <w:szCs w:val="24"/>
        </w:rPr>
        <w:t>3.715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B7249">
        <w:rPr>
          <w:rFonts w:asciiTheme="minorHAnsi" w:hAnsiTheme="minorHAnsi" w:cs="Arial"/>
          <w:b/>
          <w:sz w:val="24"/>
          <w:szCs w:val="24"/>
        </w:rPr>
        <w:t>0</w:t>
      </w:r>
      <w:r w:rsidR="00945660">
        <w:rPr>
          <w:rFonts w:asciiTheme="minorHAnsi" w:hAnsiTheme="minorHAnsi" w:cs="Arial"/>
          <w:b/>
          <w:sz w:val="24"/>
          <w:szCs w:val="24"/>
        </w:rPr>
        <w:t>4</w:t>
      </w: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86AB8">
        <w:rPr>
          <w:rFonts w:asciiTheme="minorHAnsi" w:hAnsiTheme="minorHAnsi" w:cs="Arial"/>
          <w:b/>
          <w:sz w:val="24"/>
          <w:szCs w:val="24"/>
        </w:rPr>
        <w:t>DEZEMBRO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367983" w:rsidRPr="00606154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2"/>
          <w:szCs w:val="24"/>
        </w:rPr>
      </w:pPr>
    </w:p>
    <w:p w:rsidR="009C5C4E" w:rsidRPr="008B7249" w:rsidRDefault="008B7249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8B7249">
        <w:rPr>
          <w:rFonts w:asciiTheme="minorHAnsi" w:hAnsiTheme="minorHAnsi" w:cs="Arial"/>
          <w:caps/>
          <w:sz w:val="24"/>
          <w:szCs w:val="24"/>
        </w:rPr>
        <w:t>Estima a receita e fixa a despesa do Município de São Jerônimo para o exercício financeiro de 2019</w:t>
      </w:r>
      <w:r>
        <w:rPr>
          <w:rFonts w:asciiTheme="minorHAnsi" w:hAnsiTheme="minorHAnsi" w:cs="Arial"/>
          <w:caps/>
          <w:sz w:val="24"/>
          <w:szCs w:val="24"/>
        </w:rPr>
        <w:t>.</w:t>
      </w:r>
    </w:p>
    <w:p w:rsidR="008B7249" w:rsidRDefault="008B7249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F86D55" w:rsidRDefault="00F86D55" w:rsidP="00606154">
      <w:pPr>
        <w:pStyle w:val="Recuodecorpodetexto2"/>
        <w:spacing w:line="276" w:lineRule="auto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8B7249" w:rsidRDefault="008B7249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B7249" w:rsidRDefault="008B7249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8B7249" w:rsidRPr="008B7249" w:rsidRDefault="008B7249" w:rsidP="008B7249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8B7249">
        <w:rPr>
          <w:rFonts w:asciiTheme="minorHAnsi" w:hAnsiTheme="minorHAnsi" w:cs="Arial"/>
          <w:i w:val="0"/>
          <w:sz w:val="24"/>
          <w:szCs w:val="24"/>
        </w:rPr>
        <w:t>CAPÍTULO I</w:t>
      </w:r>
    </w:p>
    <w:p w:rsidR="008B7249" w:rsidRDefault="008B7249" w:rsidP="008B7249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8B7249">
        <w:rPr>
          <w:rFonts w:asciiTheme="minorHAnsi" w:hAnsiTheme="minorHAnsi" w:cs="Arial"/>
          <w:i w:val="0"/>
          <w:sz w:val="24"/>
          <w:szCs w:val="24"/>
        </w:rPr>
        <w:t>DISPOSIÇÕES PRELIMINARES</w:t>
      </w:r>
    </w:p>
    <w:p w:rsidR="008B7249" w:rsidRPr="008B7249" w:rsidRDefault="008B7249" w:rsidP="008B7249">
      <w:pPr>
        <w:pStyle w:val="Recuodecorpodetexto2"/>
        <w:spacing w:line="240" w:lineRule="auto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</w:p>
    <w:p w:rsidR="008B7249" w:rsidRPr="008B7249" w:rsidRDefault="005E1FD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="008B7249" w:rsidRPr="008B7249">
        <w:rPr>
          <w:rFonts w:asciiTheme="minorHAnsi" w:hAnsiTheme="minorHAnsi" w:cs="Arial"/>
          <w:sz w:val="24"/>
          <w:szCs w:val="24"/>
        </w:rPr>
        <w:t>Esta Lei estima a Receita e fixa a Despesa do Município para o exercício financeiro de 2019, compreendendo: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Pr="008B7249">
        <w:rPr>
          <w:rFonts w:asciiTheme="minorHAnsi" w:hAnsiTheme="minorHAnsi" w:cs="Arial"/>
          <w:sz w:val="24"/>
          <w:szCs w:val="24"/>
        </w:rPr>
        <w:t xml:space="preserve">I — </w:t>
      </w:r>
      <w:r>
        <w:rPr>
          <w:rFonts w:asciiTheme="minorHAnsi" w:hAnsiTheme="minorHAnsi" w:cs="Arial"/>
          <w:sz w:val="24"/>
          <w:szCs w:val="24"/>
        </w:rPr>
        <w:t>O</w:t>
      </w:r>
      <w:r w:rsidRPr="008B7249">
        <w:rPr>
          <w:rFonts w:asciiTheme="minorHAnsi" w:hAnsiTheme="minorHAnsi" w:cs="Arial"/>
          <w:sz w:val="24"/>
          <w:szCs w:val="24"/>
        </w:rPr>
        <w:t xml:space="preserve"> Orçamento Fiscal, referente aos Poderes do Município, seus fundos, órgãos e entidades da Administração Pública Municipal Direta e Indireta, inclusive Fundações instituídas e mantidas pelo Poder Público;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Pr="008B7249">
        <w:rPr>
          <w:rFonts w:asciiTheme="minorHAnsi" w:hAnsiTheme="minorHAnsi" w:cs="Arial"/>
          <w:sz w:val="24"/>
          <w:szCs w:val="24"/>
        </w:rPr>
        <w:t xml:space="preserve">II — </w:t>
      </w:r>
      <w:r>
        <w:rPr>
          <w:rFonts w:asciiTheme="minorHAnsi" w:hAnsiTheme="minorHAnsi" w:cs="Arial"/>
          <w:sz w:val="24"/>
          <w:szCs w:val="24"/>
        </w:rPr>
        <w:t>O</w:t>
      </w:r>
      <w:r w:rsidRPr="008B7249">
        <w:rPr>
          <w:rFonts w:asciiTheme="minorHAnsi" w:hAnsiTheme="minorHAnsi" w:cs="Arial"/>
          <w:sz w:val="24"/>
          <w:szCs w:val="24"/>
        </w:rPr>
        <w:t xml:space="preserve"> Orçamento da Seguridade Social, abrangendo todas as entidades e órgãos da Administração Direta e Indireta a ele vinculados, bem como Fundações instituídas e mantidas pelo Poder Público;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CAPÍTULO I</w:t>
      </w:r>
      <w:r>
        <w:rPr>
          <w:rFonts w:asciiTheme="minorHAnsi" w:hAnsiTheme="minorHAnsi" w:cs="Arial"/>
          <w:sz w:val="24"/>
          <w:szCs w:val="24"/>
        </w:rPr>
        <w:t>I</w:t>
      </w: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DO ORÇAMENTO FISCAL E DA SEGURIDADE SOCIAL</w:t>
      </w:r>
    </w:p>
    <w:p w:rsid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Seção I</w:t>
      </w: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Da Estimativa da Receita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 2º A Receita Orçamentária é estimada, no mesmo valor da Despesa, em R$ 75.850.000,00 (Setenta e cinco milhões, oitocentos e cinquenta mil reais).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D51C8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7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907"/>
        <w:gridCol w:w="3166"/>
      </w:tblGrid>
      <w:tr w:rsidR="008B7249" w:rsidRPr="008B7249" w:rsidTr="002433FC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keepNext/>
              <w:jc w:val="center"/>
              <w:outlineLvl w:val="5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lastRenderedPageBreak/>
              <w:t xml:space="preserve">ESPECIFICAÇÃO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2433FC">
            <w:pPr>
              <w:jc w:val="center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1 – RECEITAS CORRENTES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70.444.050,00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Receita de Impostos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8.158.595,00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Receita de Contribuições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2.312.000,00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Receita Patrimonial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4.194.250,00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tabs>
                <w:tab w:val="center" w:pos="4419"/>
                <w:tab w:val="right" w:pos="8838"/>
              </w:tabs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Receita de Serviços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17.000,00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Transferências Correntes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                              48.783.205,00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Outras Receitas Correntes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6.979.000,00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2 – RECEITAS DE CAPITAL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7.017.550,00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6.588.050,00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Alienação de Bens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400.000,00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Outras Receitas de Capital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29.500,00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7 – RECEITAS CORRENTES </w:t>
            </w:r>
          </w:p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     INTRAORÇAMENTÁRIAS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5.039.000,00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tabs>
                <w:tab w:val="center" w:pos="4419"/>
                <w:tab w:val="right" w:pos="8838"/>
              </w:tabs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Receita de Contribuições – Intraorç.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3.039.000,00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tabs>
                <w:tab w:val="center" w:pos="4419"/>
                <w:tab w:val="right" w:pos="8838"/>
              </w:tabs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Outras Receitas Correntes – Intraorç.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2.000.000,00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jc w:val="center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jc w:val="center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9 – DEDUÇÕES DA RECEITA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-6.650.600,00</w:t>
            </w: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. . . .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</w:tr>
      <w:tr w:rsidR="008B7249" w:rsidRPr="008B7249" w:rsidTr="008B7249">
        <w:trPr>
          <w:trHeight w:val="262"/>
          <w:jc w:val="center"/>
        </w:trPr>
        <w:tc>
          <w:tcPr>
            <w:tcW w:w="3907" w:type="dxa"/>
            <w:vAlign w:val="center"/>
          </w:tcPr>
          <w:p w:rsidR="008B7249" w:rsidRPr="008B7249" w:rsidRDefault="008B7249" w:rsidP="002433FC">
            <w:pPr>
              <w:jc w:val="center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TOTAL </w:t>
            </w:r>
          </w:p>
        </w:tc>
        <w:tc>
          <w:tcPr>
            <w:tcW w:w="3166" w:type="dxa"/>
            <w:vAlign w:val="center"/>
          </w:tcPr>
          <w:p w:rsidR="008B7249" w:rsidRPr="008B7249" w:rsidRDefault="008B7249" w:rsidP="008B7249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75.850.000,00</w:t>
            </w:r>
          </w:p>
        </w:tc>
      </w:tr>
    </w:tbl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Seção II</w:t>
      </w: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Da Fixação da Despesa</w:t>
      </w: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 4º A Despesa Orçamentária, no mesmo valor da Receita Orçamentária, é fixada em R$ 75.850.000,00 (Setenta e cinco milhões, oitocentos e cinquenta mil reais) sendo: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- </w:t>
      </w:r>
      <w:r w:rsidRPr="008B7249">
        <w:rPr>
          <w:rFonts w:asciiTheme="minorHAnsi" w:hAnsiTheme="minorHAnsi" w:cs="Arial"/>
          <w:sz w:val="24"/>
          <w:szCs w:val="24"/>
        </w:rPr>
        <w:t>No Orçamento Fiscal, em R$ 50.512.975,00 (Cinquenta milhões, quinhentos e doze mil, novecentos e setenta e cinco reais);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 - </w:t>
      </w:r>
      <w:r w:rsidRPr="008B7249">
        <w:rPr>
          <w:rFonts w:asciiTheme="minorHAnsi" w:hAnsiTheme="minorHAnsi" w:cs="Arial"/>
          <w:sz w:val="24"/>
          <w:szCs w:val="24"/>
        </w:rPr>
        <w:t>No Orçamento da Seguridade Social, em R$ 25.337.025,00 (Vinte e cinco milhões, trezentos e trinta e sete mil e vinte e cinco reais);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 5º A despesa total fixada apresenta o seguinte desdobramento:</w:t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6946" w:type="dxa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7"/>
        <w:gridCol w:w="3119"/>
      </w:tblGrid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keepNext/>
              <w:jc w:val="center"/>
              <w:outlineLvl w:val="5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GRUPO DE DESPESA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center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3. DESPESAS CORRENTES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53.660.974,00</w:t>
            </w: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3.1 - Pessoal e Encargos Sociais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25.172.635,00</w:t>
            </w: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3.2 - Juros e Encargos da Dívida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250.000,00</w:t>
            </w: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3.3 - Outras Despesas Correntes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28.238.339,00</w:t>
            </w: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lastRenderedPageBreak/>
              <w:t>4. DESPESAS DE CAPITAL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13.383.026,00</w:t>
            </w: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4.1 – Investimentos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11.853.026,00</w:t>
            </w: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 xml:space="preserve"> 4.3 – Amortização da Dívida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1.530.000,00</w:t>
            </w: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RESERVA DE CONTINGÊNCIA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2.900.000,00</w:t>
            </w: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RESERVA CONTINGÊNCIA RPPS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5.906.000,00</w:t>
            </w: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jc w:val="center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</w:p>
        </w:tc>
      </w:tr>
      <w:tr w:rsidR="008B7249" w:rsidRPr="008B7249" w:rsidTr="008B7249">
        <w:trPr>
          <w:trHeight w:val="250"/>
        </w:trPr>
        <w:tc>
          <w:tcPr>
            <w:tcW w:w="3827" w:type="dxa"/>
          </w:tcPr>
          <w:p w:rsidR="008B7249" w:rsidRPr="008B7249" w:rsidRDefault="008B7249" w:rsidP="002433FC">
            <w:pPr>
              <w:jc w:val="center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3119" w:type="dxa"/>
          </w:tcPr>
          <w:p w:rsidR="008B7249" w:rsidRPr="008B7249" w:rsidRDefault="008B7249" w:rsidP="002433FC">
            <w:pPr>
              <w:jc w:val="right"/>
              <w:rPr>
                <w:rFonts w:asciiTheme="minorHAnsi" w:hAnsiTheme="minorHAnsi" w:cs="Arial"/>
                <w:snapToGrid w:val="0"/>
                <w:sz w:val="24"/>
                <w:szCs w:val="24"/>
              </w:rPr>
            </w:pPr>
            <w:r w:rsidRPr="008B7249">
              <w:rPr>
                <w:rFonts w:asciiTheme="minorHAnsi" w:hAnsiTheme="minorHAnsi" w:cs="Arial"/>
                <w:snapToGrid w:val="0"/>
                <w:sz w:val="24"/>
                <w:szCs w:val="24"/>
              </w:rPr>
              <w:t>75.850.000,00</w:t>
            </w:r>
          </w:p>
        </w:tc>
      </w:tr>
    </w:tbl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 6º Integram esta Lei, nos termos do art. 8º da Lei Municipal nº 3703/2018, que dispõe sobre as Diretrizes Orçamentárias para o Exercício Financeiro de 2018, os anexos contendo os quadros orçamentários e demonstrativos das Receitas e Despesas, a programação de trabalho das unidades orçamentárias e o detalhamento dos créditos orçamentários.</w:t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Seção III</w:t>
      </w: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Da Autorização para Abertura de Créditos Suplementares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 7º Ficam autorizados: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ab/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Pr="008B7249">
        <w:rPr>
          <w:rFonts w:asciiTheme="minorHAnsi" w:hAnsiTheme="minorHAnsi" w:cs="Arial"/>
          <w:sz w:val="24"/>
          <w:szCs w:val="24"/>
        </w:rPr>
        <w:t>I – Ao Poder Executivo, mediante Decreto, a abertura de Créditos Suplementares até o limite de 20 % (vinte por cento) da sua despesa total fixada, compreendendo as operações intraorçamentárias, com a finalidade de suprir insuficiências de dotações orçamentárias, mediante a utilização de recursos provenientes de: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 xml:space="preserve"> </w:t>
      </w:r>
      <w:r w:rsidRPr="008B7249">
        <w:rPr>
          <w:rFonts w:asciiTheme="minorHAnsi" w:hAnsiTheme="minorHAnsi" w:cs="Arial"/>
          <w:sz w:val="24"/>
          <w:szCs w:val="24"/>
        </w:rPr>
        <w:tab/>
        <w:t>a) anulação parcial ou total de suas dotações;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 xml:space="preserve"> </w:t>
      </w:r>
      <w:r w:rsidRPr="008B7249">
        <w:rPr>
          <w:rFonts w:asciiTheme="minorHAnsi" w:hAnsiTheme="minorHAnsi" w:cs="Arial"/>
          <w:sz w:val="24"/>
          <w:szCs w:val="24"/>
        </w:rPr>
        <w:tab/>
        <w:t>b) incorporação de superávit e/ou saldo financeiro disponível do exercício anterior, efetivamente apurados em balanço;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 xml:space="preserve"> </w:t>
      </w:r>
      <w:r w:rsidRPr="008B7249">
        <w:rPr>
          <w:rFonts w:asciiTheme="minorHAnsi" w:hAnsiTheme="minorHAnsi" w:cs="Arial"/>
          <w:sz w:val="24"/>
          <w:szCs w:val="24"/>
        </w:rPr>
        <w:tab/>
        <w:t>c) excesso de arrecadação.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II – Ao Poder Legislativo, mediante Resolução da Mesa Diretora da Câmara, a abertura de Créditos Suplementares até o limite de 20 % (vinte por cento) de sua despesa total fixada, 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Parágrafo único. Também poderá ser considerado como superávit financeiro do exercício anterior, para fins da alínea b do inciso I do caput, os recursos que forem disponibilizados a partir do cancelamento de restos a pagar durante o exercício de 2018, obedecida a fonte de recursos correspondente.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lastRenderedPageBreak/>
        <w:t>Art. 8º No caso do Poder Executivo, o limite autorizado no artigo 7º, inciso I, não será onerado quando o crédito suplementar se destinar a atender:</w:t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 xml:space="preserve">I — </w:t>
      </w:r>
      <w:r>
        <w:rPr>
          <w:rFonts w:asciiTheme="minorHAnsi" w:hAnsiTheme="minorHAnsi" w:cs="Arial"/>
          <w:sz w:val="24"/>
          <w:szCs w:val="24"/>
        </w:rPr>
        <w:t>I</w:t>
      </w:r>
      <w:r w:rsidRPr="008B7249">
        <w:rPr>
          <w:rFonts w:asciiTheme="minorHAnsi" w:hAnsiTheme="minorHAnsi" w:cs="Arial"/>
          <w:sz w:val="24"/>
          <w:szCs w:val="24"/>
        </w:rPr>
        <w:t>nsuficiências de dotações do Grupo de Natureza da Despesa 1 — Pessoal e Encargos Sociais, mediante a utilização de recursos oriundos de anulação de despe</w:t>
      </w:r>
      <w:r>
        <w:rPr>
          <w:rFonts w:asciiTheme="minorHAnsi" w:hAnsiTheme="minorHAnsi" w:cs="Arial"/>
          <w:sz w:val="24"/>
          <w:szCs w:val="24"/>
        </w:rPr>
        <w:t>sas consignadas ao mesmo grupo;</w:t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 xml:space="preserve">II — </w:t>
      </w:r>
      <w:r>
        <w:rPr>
          <w:rFonts w:asciiTheme="minorHAnsi" w:hAnsiTheme="minorHAnsi" w:cs="Arial"/>
          <w:sz w:val="24"/>
          <w:szCs w:val="24"/>
        </w:rPr>
        <w:t>D</w:t>
      </w:r>
      <w:r w:rsidRPr="008B7249">
        <w:rPr>
          <w:rFonts w:asciiTheme="minorHAnsi" w:hAnsiTheme="minorHAnsi" w:cs="Arial"/>
          <w:sz w:val="24"/>
          <w:szCs w:val="24"/>
        </w:rPr>
        <w:t>espesas correntes de sentenças judiciais, amortização, juros e encargos da dívida;</w:t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III — despesas financiadas com recursos provenientes de operações de crédito, alienação de bens e transferências voluntárias da União e do Estado.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CAPÍTULO III</w:t>
      </w:r>
    </w:p>
    <w:p w:rsidR="008B7249" w:rsidRPr="008B7249" w:rsidRDefault="008B7249" w:rsidP="008B72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DISPOSIÇÕES GERAIS E FINAIS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 9º A utilização das dotações com origem de recursos provenientes de transferências voluntárias, operações de crédito e alienação de bens fica limitada aos efetivos recursos assegurados, nos termos do art. 22 da Lei de Diretrizes Orçamentárias para 2018.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</w:t>
      </w:r>
      <w:r w:rsidR="009F38D3">
        <w:rPr>
          <w:rFonts w:asciiTheme="minorHAnsi" w:hAnsiTheme="minorHAnsi" w:cs="Arial"/>
          <w:sz w:val="24"/>
          <w:szCs w:val="24"/>
        </w:rPr>
        <w:t xml:space="preserve"> </w:t>
      </w:r>
      <w:r w:rsidRPr="008B7249">
        <w:rPr>
          <w:rFonts w:asciiTheme="minorHAnsi" w:hAnsiTheme="minorHAnsi" w:cs="Arial"/>
          <w:sz w:val="24"/>
          <w:szCs w:val="24"/>
        </w:rPr>
        <w:t>10</w:t>
      </w:r>
      <w:r w:rsidR="009F38D3">
        <w:rPr>
          <w:rFonts w:asciiTheme="minorHAnsi" w:hAnsiTheme="minorHAnsi" w:cs="Arial"/>
          <w:sz w:val="24"/>
          <w:szCs w:val="24"/>
        </w:rPr>
        <w:t>.</w:t>
      </w:r>
      <w:r w:rsidRPr="008B7249">
        <w:rPr>
          <w:rFonts w:asciiTheme="minorHAnsi" w:hAnsiTheme="minorHAnsi" w:cs="Arial"/>
          <w:sz w:val="24"/>
          <w:szCs w:val="24"/>
        </w:rPr>
        <w:t xml:space="preserve">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7249">
        <w:rPr>
          <w:rFonts w:asciiTheme="minorHAnsi" w:hAnsiTheme="minorHAnsi" w:cs="Arial"/>
          <w:sz w:val="24"/>
          <w:szCs w:val="24"/>
        </w:rPr>
        <w:t>11</w:t>
      </w:r>
      <w:r w:rsidR="009F38D3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7249">
        <w:rPr>
          <w:rFonts w:asciiTheme="minorHAnsi" w:hAnsiTheme="minorHAnsi" w:cs="Arial"/>
          <w:sz w:val="24"/>
          <w:szCs w:val="24"/>
        </w:rPr>
        <w:t>Obedecidas as disposições da Lei de Diretrizes Orçamentárias, as transferências financeiras destinadas à Câmara Municipal serão disponibilizadas até o dia 20 de cada mês.</w:t>
      </w: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Art. 12</w:t>
      </w:r>
      <w:r w:rsidR="009F38D3">
        <w:rPr>
          <w:rFonts w:asciiTheme="minorHAnsi" w:hAnsiTheme="minorHAnsi" w:cs="Arial"/>
          <w:sz w:val="24"/>
          <w:szCs w:val="24"/>
        </w:rPr>
        <w:t>.</w:t>
      </w:r>
      <w:r w:rsidRPr="008B7249">
        <w:rPr>
          <w:rFonts w:asciiTheme="minorHAnsi" w:hAnsiTheme="minorHAnsi" w:cs="Arial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Default="009F38D3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13. </w:t>
      </w:r>
      <w:r w:rsidR="008B7249" w:rsidRPr="008B7249">
        <w:rPr>
          <w:rFonts w:asciiTheme="minorHAnsi" w:hAnsiTheme="minorHAnsi" w:cs="Arial"/>
          <w:sz w:val="24"/>
          <w:szCs w:val="24"/>
        </w:rPr>
        <w:t>Ficam atualizados, com base nos valores desta Lei, o montante previsto para as receitas, despesas, resultado primário e resultado nominal previstos nos demonstrativos referidos nos incisos I e III do art. 2º da Lei Municipal Nº 3</w:t>
      </w:r>
      <w:r w:rsidR="008B7249">
        <w:rPr>
          <w:rFonts w:asciiTheme="minorHAnsi" w:hAnsiTheme="minorHAnsi" w:cs="Arial"/>
          <w:sz w:val="24"/>
          <w:szCs w:val="24"/>
        </w:rPr>
        <w:t>.7</w:t>
      </w:r>
      <w:r w:rsidR="008B7249" w:rsidRPr="008B7249">
        <w:rPr>
          <w:rFonts w:asciiTheme="minorHAnsi" w:hAnsiTheme="minorHAnsi" w:cs="Arial"/>
          <w:sz w:val="24"/>
          <w:szCs w:val="24"/>
        </w:rPr>
        <w:t xml:space="preserve">03/2018, que dispõe sobre as Diretrizes Orçamentárias para o exercício financeiro de 2019, em conformidade com o disposto no § 1º do mesmo artigo. </w:t>
      </w:r>
    </w:p>
    <w:p w:rsidR="008B7249" w:rsidRP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7249" w:rsidRDefault="008B7249" w:rsidP="008B724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7249">
        <w:rPr>
          <w:rFonts w:asciiTheme="minorHAnsi" w:hAnsiTheme="minorHAnsi" w:cs="Arial"/>
          <w:sz w:val="24"/>
          <w:szCs w:val="24"/>
        </w:rPr>
        <w:t>Parágrafo único. Para efeito para efeitos de avaliação do cumprimento das metas fiscais na audiência pública prevista no art. 9o, § 4o, da LC nº 101/2000, as receitas e despesas realizadas, bem como o resultado primário apurado serão comparados com as metas ajustadas nos termos do caput deste artigo.</w:t>
      </w:r>
    </w:p>
    <w:p w:rsidR="008B7249" w:rsidRPr="00606154" w:rsidRDefault="008B7249" w:rsidP="008B7249">
      <w:pPr>
        <w:spacing w:line="276" w:lineRule="auto"/>
        <w:jc w:val="both"/>
        <w:rPr>
          <w:rFonts w:asciiTheme="minorHAnsi" w:hAnsiTheme="minorHAnsi" w:cs="Arial"/>
          <w:sz w:val="18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9F38D3">
        <w:rPr>
          <w:rFonts w:asciiTheme="minorHAnsi" w:hAnsiTheme="minorHAnsi" w:cs="Arial"/>
          <w:sz w:val="24"/>
          <w:szCs w:val="24"/>
        </w:rPr>
        <w:t>14.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1466D9" w:rsidRDefault="001466D9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86AB8" w:rsidRDefault="00F86AB8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86AB8" w:rsidRDefault="00F86AB8" w:rsidP="00F86AB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F86AB8" w:rsidRDefault="00F86AB8" w:rsidP="00F86AB8">
      <w:pPr>
        <w:tabs>
          <w:tab w:val="left" w:pos="657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F86AB8" w:rsidRDefault="00F86AB8" w:rsidP="00F86AB8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F86AB8" w:rsidRDefault="00F86AB8" w:rsidP="00F86AB8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Secretária de Infraestrutura e Administração</w:t>
      </w:r>
    </w:p>
    <w:p w:rsidR="00F86AB8" w:rsidRDefault="00F86AB8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sectPr w:rsidR="00F86AB8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75B" w:rsidRDefault="0042575B" w:rsidP="006B02EF">
      <w:r>
        <w:separator/>
      </w:r>
    </w:p>
  </w:endnote>
  <w:endnote w:type="continuationSeparator" w:id="0">
    <w:p w:rsidR="0042575B" w:rsidRDefault="0042575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F86AB8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456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456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456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456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F86AB8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F86AB8">
      <w:rPr>
        <w:rFonts w:asciiTheme="minorHAnsi" w:hAnsiTheme="minorHAnsi"/>
        <w:sz w:val="18"/>
      </w:rPr>
      <w:t>Fone/Fax.: (</w:t>
    </w:r>
    <w:r w:rsidR="002F1C60" w:rsidRPr="00F86AB8">
      <w:rPr>
        <w:rFonts w:asciiTheme="minorHAnsi" w:hAnsiTheme="minorHAnsi"/>
        <w:sz w:val="18"/>
      </w:rPr>
      <w:t>51) 3651</w:t>
    </w:r>
    <w:r w:rsidR="002B5130" w:rsidRPr="00F86AB8">
      <w:rPr>
        <w:rFonts w:asciiTheme="minorHAnsi" w:hAnsiTheme="minorHAnsi"/>
        <w:sz w:val="18"/>
      </w:rPr>
      <w:t xml:space="preserve">-1744 </w:t>
    </w:r>
    <w:r w:rsidR="001631F4" w:rsidRPr="00F86AB8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F86AB8">
      <w:rPr>
        <w:rFonts w:asciiTheme="minorHAnsi" w:hAnsiTheme="minorHAnsi"/>
        <w:sz w:val="18"/>
      </w:rPr>
      <w:tab/>
    </w:r>
    <w:r w:rsidR="006B02EF" w:rsidRPr="00F86AB8">
      <w:rPr>
        <w:rFonts w:asciiTheme="minorHAnsi" w:hAnsiTheme="minorHAnsi"/>
        <w:sz w:val="18"/>
      </w:rPr>
      <w:t xml:space="preserve">Home Page: </w:t>
    </w:r>
    <w:hyperlink r:id="rId2" w:history="1">
      <w:r w:rsidR="002B5130" w:rsidRPr="00F86AB8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F86AB8">
      <w:rPr>
        <w:rFonts w:asciiTheme="minorHAnsi" w:hAnsiTheme="minorHAnsi"/>
        <w:sz w:val="18"/>
      </w:rPr>
      <w:t xml:space="preserve"> </w:t>
    </w:r>
    <w:r w:rsidRPr="00F86AB8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75B" w:rsidRDefault="0042575B" w:rsidP="006B02EF">
      <w:r>
        <w:separator/>
      </w:r>
    </w:p>
  </w:footnote>
  <w:footnote w:type="continuationSeparator" w:id="0">
    <w:p w:rsidR="0042575B" w:rsidRDefault="0042575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8241D1"/>
    <w:multiLevelType w:val="hybridMultilevel"/>
    <w:tmpl w:val="A934D24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B10F0"/>
    <w:multiLevelType w:val="hybridMultilevel"/>
    <w:tmpl w:val="AEB4C304"/>
    <w:lvl w:ilvl="0" w:tplc="446C4D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2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45CD9"/>
    <w:rsid w:val="001466D9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6DD6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5112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35AE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648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AA6"/>
    <w:rsid w:val="003E3D12"/>
    <w:rsid w:val="003F6E84"/>
    <w:rsid w:val="00407C1E"/>
    <w:rsid w:val="004172C7"/>
    <w:rsid w:val="00420916"/>
    <w:rsid w:val="00422232"/>
    <w:rsid w:val="0042575B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264C8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145C"/>
    <w:rsid w:val="005E1FD9"/>
    <w:rsid w:val="005E241B"/>
    <w:rsid w:val="005E3347"/>
    <w:rsid w:val="005E51BB"/>
    <w:rsid w:val="005F376A"/>
    <w:rsid w:val="005F41BF"/>
    <w:rsid w:val="005F4BD2"/>
    <w:rsid w:val="005F4D3F"/>
    <w:rsid w:val="005F5085"/>
    <w:rsid w:val="00606154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C4D97"/>
    <w:rsid w:val="006E0E8B"/>
    <w:rsid w:val="006E4F00"/>
    <w:rsid w:val="006F026F"/>
    <w:rsid w:val="006F58D9"/>
    <w:rsid w:val="006F5BF2"/>
    <w:rsid w:val="006F79BC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6E4"/>
    <w:rsid w:val="00762CC6"/>
    <w:rsid w:val="00764B6B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046D1"/>
    <w:rsid w:val="00817BCB"/>
    <w:rsid w:val="00822385"/>
    <w:rsid w:val="00827BEE"/>
    <w:rsid w:val="00834D0D"/>
    <w:rsid w:val="00835DD1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B7249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660"/>
    <w:rsid w:val="00945726"/>
    <w:rsid w:val="009468D9"/>
    <w:rsid w:val="0095060D"/>
    <w:rsid w:val="00954C89"/>
    <w:rsid w:val="00957971"/>
    <w:rsid w:val="00973725"/>
    <w:rsid w:val="00984AC9"/>
    <w:rsid w:val="009938DD"/>
    <w:rsid w:val="009942F1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C8"/>
    <w:rsid w:val="009E5867"/>
    <w:rsid w:val="009F38D3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50B9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266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604"/>
    <w:rsid w:val="00B50DC8"/>
    <w:rsid w:val="00B556DE"/>
    <w:rsid w:val="00B5778A"/>
    <w:rsid w:val="00B6216E"/>
    <w:rsid w:val="00B6511A"/>
    <w:rsid w:val="00B66C91"/>
    <w:rsid w:val="00B67AE6"/>
    <w:rsid w:val="00B704EA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4692B"/>
    <w:rsid w:val="00C53B21"/>
    <w:rsid w:val="00C54B92"/>
    <w:rsid w:val="00C63E0A"/>
    <w:rsid w:val="00C6615A"/>
    <w:rsid w:val="00C6628D"/>
    <w:rsid w:val="00C66CEF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01A2"/>
    <w:rsid w:val="00CC6380"/>
    <w:rsid w:val="00CD284B"/>
    <w:rsid w:val="00CD48DB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120E2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31BB"/>
    <w:rsid w:val="00E946ED"/>
    <w:rsid w:val="00E962D1"/>
    <w:rsid w:val="00EA00AD"/>
    <w:rsid w:val="00EA490E"/>
    <w:rsid w:val="00EA6682"/>
    <w:rsid w:val="00EC2D3C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AB8"/>
    <w:rsid w:val="00F86D55"/>
    <w:rsid w:val="00F93C00"/>
    <w:rsid w:val="00FA1475"/>
    <w:rsid w:val="00FA1523"/>
    <w:rsid w:val="00FA6AB7"/>
    <w:rsid w:val="00FC435A"/>
    <w:rsid w:val="00FC4C19"/>
    <w:rsid w:val="00FD0A3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003A-3493-47AD-A01F-921311CB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1119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36</cp:revision>
  <cp:lastPrinted>2018-11-05T11:57:00Z</cp:lastPrinted>
  <dcterms:created xsi:type="dcterms:W3CDTF">2018-10-25T18:09:00Z</dcterms:created>
  <dcterms:modified xsi:type="dcterms:W3CDTF">2018-12-04T13:47:00Z</dcterms:modified>
</cp:coreProperties>
</file>