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52" w:rsidRPr="00F62300" w:rsidRDefault="00372D5E">
      <w:pPr>
        <w:spacing w:line="360" w:lineRule="auto"/>
        <w:jc w:val="center"/>
        <w:rPr>
          <w:rFonts w:ascii="Calibri" w:eastAsia="Calibri" w:hAnsi="Calibri" w:cs="Calibri"/>
          <w:b/>
          <w:sz w:val="24"/>
          <w:szCs w:val="24"/>
        </w:rPr>
      </w:pPr>
      <w:r w:rsidRPr="00F62300">
        <w:rPr>
          <w:rFonts w:ascii="Calibri" w:eastAsia="Calibri" w:hAnsi="Calibri" w:cs="Calibri"/>
          <w:b/>
          <w:sz w:val="24"/>
          <w:szCs w:val="24"/>
        </w:rPr>
        <w:t xml:space="preserve">LEI N° </w:t>
      </w:r>
      <w:r w:rsidR="00F62300" w:rsidRPr="00F62300">
        <w:rPr>
          <w:rFonts w:ascii="Calibri" w:eastAsia="Calibri" w:hAnsi="Calibri" w:cs="Calibri"/>
          <w:b/>
          <w:sz w:val="24"/>
          <w:szCs w:val="24"/>
        </w:rPr>
        <w:t>3.912</w:t>
      </w:r>
      <w:r w:rsidRPr="00F62300">
        <w:rPr>
          <w:rFonts w:ascii="Calibri" w:eastAsia="Calibri" w:hAnsi="Calibri" w:cs="Calibri"/>
          <w:b/>
          <w:sz w:val="24"/>
          <w:szCs w:val="24"/>
        </w:rPr>
        <w:t xml:space="preserve">, DE </w:t>
      </w:r>
      <w:r w:rsidR="00F62300" w:rsidRPr="00F62300">
        <w:rPr>
          <w:rFonts w:ascii="Calibri" w:eastAsia="Calibri" w:hAnsi="Calibri" w:cs="Calibri"/>
          <w:b/>
          <w:sz w:val="24"/>
          <w:szCs w:val="24"/>
        </w:rPr>
        <w:t>01</w:t>
      </w:r>
      <w:r w:rsidRPr="00F62300">
        <w:rPr>
          <w:rFonts w:ascii="Calibri" w:eastAsia="Calibri" w:hAnsi="Calibri" w:cs="Calibri"/>
          <w:b/>
          <w:sz w:val="24"/>
          <w:szCs w:val="24"/>
        </w:rPr>
        <w:t xml:space="preserve"> DE </w:t>
      </w:r>
      <w:r w:rsidR="00F62300" w:rsidRPr="00F62300">
        <w:rPr>
          <w:rFonts w:ascii="Calibri" w:eastAsia="Calibri" w:hAnsi="Calibri" w:cs="Calibri"/>
          <w:b/>
          <w:sz w:val="24"/>
          <w:szCs w:val="24"/>
        </w:rPr>
        <w:t>DEZEMBRO</w:t>
      </w:r>
      <w:r w:rsidRPr="00F62300">
        <w:rPr>
          <w:rFonts w:ascii="Calibri" w:eastAsia="Calibri" w:hAnsi="Calibri" w:cs="Calibri"/>
          <w:b/>
          <w:sz w:val="24"/>
          <w:szCs w:val="24"/>
        </w:rPr>
        <w:t xml:space="preserve"> DE 2020</w:t>
      </w:r>
    </w:p>
    <w:p w:rsidR="00BF2152" w:rsidRPr="00F62300" w:rsidRDefault="00BF2152">
      <w:pPr>
        <w:spacing w:line="360" w:lineRule="auto"/>
        <w:jc w:val="both"/>
        <w:rPr>
          <w:rFonts w:ascii="Calibri" w:eastAsia="Calibri" w:hAnsi="Calibri" w:cs="Calibri"/>
          <w:sz w:val="24"/>
          <w:szCs w:val="24"/>
        </w:rPr>
      </w:pPr>
    </w:p>
    <w:p w:rsidR="00BF2152" w:rsidRPr="00F62300" w:rsidRDefault="00372D5E">
      <w:pPr>
        <w:spacing w:after="160"/>
        <w:ind w:left="4248" w:firstLine="5"/>
        <w:jc w:val="both"/>
        <w:rPr>
          <w:rFonts w:ascii="Calibri" w:eastAsia="Calibri" w:hAnsi="Calibri" w:cs="Calibri"/>
          <w:smallCaps/>
          <w:sz w:val="24"/>
          <w:szCs w:val="24"/>
        </w:rPr>
      </w:pPr>
      <w:r w:rsidRPr="00F62300">
        <w:rPr>
          <w:rFonts w:ascii="Calibri" w:eastAsia="Calibri" w:hAnsi="Calibri" w:cs="Calibri"/>
          <w:smallCaps/>
          <w:sz w:val="24"/>
          <w:szCs w:val="24"/>
        </w:rPr>
        <w:t>DISPÕE SOBRE AS DIRETRIZES ORÇAMENTÁRIAS PARA O EXERCÍCIO FINANCEIRO DE 2021.</w:t>
      </w:r>
    </w:p>
    <w:p w:rsidR="00BF2152" w:rsidRPr="00F62300" w:rsidRDefault="00BF2152">
      <w:pPr>
        <w:pBdr>
          <w:top w:val="nil"/>
          <w:left w:val="nil"/>
          <w:bottom w:val="nil"/>
          <w:right w:val="nil"/>
          <w:between w:val="nil"/>
        </w:pBdr>
        <w:spacing w:line="360" w:lineRule="auto"/>
        <w:ind w:firstLine="1134"/>
        <w:jc w:val="both"/>
        <w:rPr>
          <w:rFonts w:ascii="Calibri" w:eastAsia="Calibri" w:hAnsi="Calibri" w:cs="Calibri"/>
          <w:sz w:val="24"/>
          <w:szCs w:val="24"/>
        </w:rPr>
      </w:pPr>
      <w:bookmarkStart w:id="0" w:name="_gjdgxs" w:colFirst="0" w:colLast="0"/>
      <w:bookmarkEnd w:id="0"/>
    </w:p>
    <w:p w:rsidR="00BF2152" w:rsidRPr="00F62300" w:rsidRDefault="00372D5E">
      <w:pPr>
        <w:pBdr>
          <w:top w:val="nil"/>
          <w:left w:val="nil"/>
          <w:bottom w:val="nil"/>
          <w:right w:val="nil"/>
          <w:between w:val="nil"/>
        </w:pBdr>
        <w:spacing w:line="360" w:lineRule="auto"/>
        <w:ind w:firstLine="1134"/>
        <w:jc w:val="both"/>
        <w:rPr>
          <w:rFonts w:ascii="Calibri" w:eastAsia="Calibri" w:hAnsi="Calibri" w:cs="Calibri"/>
          <w:sz w:val="24"/>
          <w:szCs w:val="24"/>
        </w:rPr>
      </w:pPr>
      <w:r w:rsidRPr="00F62300">
        <w:rPr>
          <w:rFonts w:ascii="Calibri" w:eastAsia="Calibri" w:hAnsi="Calibri" w:cs="Calibri"/>
          <w:sz w:val="24"/>
          <w:szCs w:val="24"/>
        </w:rPr>
        <w:t xml:space="preserve">O Prefeito Municipal de São Jerônimo, </w:t>
      </w:r>
      <w:r w:rsidR="00DA3B41">
        <w:rPr>
          <w:rFonts w:ascii="Calibri" w:eastAsia="Calibri" w:hAnsi="Calibri" w:cs="Calibri"/>
          <w:sz w:val="24"/>
          <w:szCs w:val="24"/>
        </w:rPr>
        <w:t xml:space="preserve">em exercício, </w:t>
      </w:r>
      <w:r w:rsidRPr="00F62300">
        <w:rPr>
          <w:rFonts w:ascii="Calibri" w:eastAsia="Calibri" w:hAnsi="Calibri" w:cs="Calibri"/>
          <w:sz w:val="24"/>
          <w:szCs w:val="24"/>
        </w:rPr>
        <w:t xml:space="preserve">no uso de suas atribuições legais conferidas pelo art. 73, IV da Lei Orgânica, FAZ SABER, que a Câmara Municipal aprovou e eu sanciono e promulgo a seguinte </w:t>
      </w:r>
    </w:p>
    <w:p w:rsidR="00BF2152" w:rsidRPr="00F62300" w:rsidRDefault="00BF2152">
      <w:pPr>
        <w:pBdr>
          <w:top w:val="nil"/>
          <w:left w:val="nil"/>
          <w:bottom w:val="nil"/>
          <w:right w:val="nil"/>
          <w:between w:val="nil"/>
        </w:pBdr>
        <w:spacing w:line="360" w:lineRule="auto"/>
        <w:jc w:val="center"/>
        <w:rPr>
          <w:rFonts w:ascii="Calibri" w:eastAsia="Calibri" w:hAnsi="Calibri" w:cs="Calibri"/>
          <w:sz w:val="24"/>
          <w:szCs w:val="24"/>
        </w:rPr>
      </w:pPr>
    </w:p>
    <w:p w:rsidR="00BF2152" w:rsidRPr="00F62300" w:rsidRDefault="00372D5E">
      <w:pPr>
        <w:pBdr>
          <w:top w:val="nil"/>
          <w:left w:val="nil"/>
          <w:bottom w:val="nil"/>
          <w:right w:val="nil"/>
          <w:between w:val="nil"/>
        </w:pBdr>
        <w:spacing w:line="360" w:lineRule="auto"/>
        <w:jc w:val="center"/>
        <w:rPr>
          <w:rFonts w:ascii="Calibri" w:eastAsia="Calibri" w:hAnsi="Calibri" w:cs="Calibri"/>
          <w:sz w:val="24"/>
          <w:szCs w:val="24"/>
        </w:rPr>
      </w:pPr>
      <w:r w:rsidRPr="00F62300">
        <w:rPr>
          <w:rFonts w:ascii="Calibri" w:eastAsia="Calibri" w:hAnsi="Calibri" w:cs="Calibri"/>
          <w:sz w:val="24"/>
          <w:szCs w:val="24"/>
        </w:rPr>
        <w:t>L E I</w:t>
      </w:r>
    </w:p>
    <w:p w:rsidR="00BF2152" w:rsidRPr="00F62300" w:rsidRDefault="00BF2152">
      <w:pPr>
        <w:jc w:val="center"/>
        <w:rPr>
          <w:rFonts w:ascii="Calibri" w:eastAsia="Calibri" w:hAnsi="Calibri" w:cs="Calibri"/>
          <w:sz w:val="24"/>
          <w:szCs w:val="24"/>
        </w:rPr>
      </w:pPr>
      <w:bookmarkStart w:id="1" w:name="_30j0zll" w:colFirst="0" w:colLast="0"/>
      <w:bookmarkEnd w:id="1"/>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Capítulo I - Disposições Preliminares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1º Ficam estabelecidas, em cumprimento ao disposto no art. 165, § 2.º, da Constituição Federal, no art. 86 da Lei Orgânica do Município, e na Lei Complementar nº 101, de 04 de maio de 2000, as diretrizes gerais para elaboração do orçamento do Município, relativas ao exercício de 2021, compreendendo: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as metas e as prioridades da administração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 organização e estrutura do orçamento;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as diretrizes para elaboração e execução do orçamento e suas alterações;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as disposições relativas à dívida pública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as disposições relativas às despesas do Município com pessoal e encargos sociais;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 - as disposições sobre alterações na legislação tributária;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 - as disposições gerais.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Integram esta lei os seguintes anexos: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Anexo I, de metas fiscais, composto dos demonstrativos: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 das metas fiscais anuais de acordo com o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1</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da Lei Complementar nº 101/2000, acompanhado da memória e metodologia de cálculo;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b) da avaliação do cumprimento das metas fiscais relativas ao ano de 2019;</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c) das metas fiscais previstas para 2021, 2022 e 2023, comparadas com as fixadas nos exercícios de 2018, 2019 e 2020;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d) da evolução do patrimônio líquido, conforme o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2</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inciso III,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e) da origem e aplicação dos recursos obtidos com a alienação de ativos, em cumprimento ao disposto no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2</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inciso III,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f) da avaliação da situação financeira e atuarial do Regime Próprio de Previdência dos Servidores Públicos Municipais, de acordo com o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2</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inciso IV,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g) da estimativa e compensação da renúncia de receita, conforme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2</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inciso V,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h) da margem de expansão das despesas obrigatórias de caráter continuado, conforme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2</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inciso V,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Anexo II, de Riscos Fiscais e providências, contendo a avaliação dos riscos orçamentários e os passivos contingentes capazes de afetar as contas públicas, em cumprimento ao art.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3</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Anexo III, de caráter informativo e não normativo, contemplando o detalhamento dos Programas e Ações com execução prevista para o exercício financeiro de 2021, o qual deverá servir de referência para o planejamento, podendo ser atualizado pela lei orçamentária ou através de créditos adicionais.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Anexo IV, informando as despesas para conservação do patrimônio público e para os projetos em andamento, em cumprimento ao disposto no art. 45 da Lei Complementar nº 101, de 2000.</w:t>
      </w:r>
    </w:p>
    <w:p w:rsidR="00BF2152" w:rsidRPr="00F62300" w:rsidRDefault="00BF2152">
      <w:pPr>
        <w:jc w:val="center"/>
        <w:rPr>
          <w:rFonts w:ascii="Calibri" w:eastAsia="Calibri" w:hAnsi="Calibri" w:cs="Calibri"/>
          <w:sz w:val="24"/>
          <w:szCs w:val="24"/>
        </w:rPr>
      </w:pPr>
      <w:bookmarkStart w:id="2" w:name="_1fob9te" w:colFirst="0" w:colLast="0"/>
      <w:bookmarkEnd w:id="2"/>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Capítulo II - Das Metas e Prioridades da Administração Pública Municipal</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2º A elaboração e aprovação do Projeto de Lei Orçamentária de 2021 e a execução da respectiva Lei deverão ser compatíveis com o anexo de Metas Fiscais constante do Anexo I a esta Lei.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 1</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3</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Durante o exercício de 2021, a meta resultado primário poderá ser revisada em decorrência da frustração da arrecadação das receitas que são objeto de transferência constitucional, com base nos arts. 158 e 159 da Constituição Federal e no art. 60 do Ato das Disposições Constitucionais Transitórias, ou em decorrência da instabilidade do cenário econômico e fiscal devido aos reflexos do enfrentamento da Pandemia denominada COVID-19.</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Para os fins do disposto no § 3º, considera-se frustração de arrecadação, a diferença a menor que for observada entre os valores que forem arrecadados em cada mês, em comparação com igual mês do ano anterior.</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5</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Nas hipóteses de atualização ou redução da meta de resultado primário, e para efeitos da audiência pública prevista no art. 9</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 4</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da Lei Complementar nº 101, de 2000, a meta alcançada será comparada com a meta ajustada.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3º As metas e prioridades para o exercício financeiro de 2021 relacionadas com a execução de programas e ações orçamentárias estão estruturadas de acordo com o Plano Plurianual para 2018/2021 - Lei nº 3.566, de 30 de agosto de 2017 e suas alterações, especificadas no Anexo III, integrante desta Lei, as quais terão precedência na alocação de recursos na Lei Orçamentária.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Sem prejuízo do disposto no inciso III do parágrafo único do art. 1º desta Lei, as metas e prioridades de que trata o </w:t>
      </w:r>
      <w:r w:rsidRPr="00F62300">
        <w:rPr>
          <w:rFonts w:ascii="Calibri" w:eastAsia="Calibri" w:hAnsi="Calibri" w:cs="Calibri"/>
          <w:i/>
          <w:sz w:val="24"/>
          <w:szCs w:val="24"/>
        </w:rPr>
        <w:t>caput</w:t>
      </w:r>
      <w:r w:rsidRPr="00F62300">
        <w:rPr>
          <w:rFonts w:ascii="Calibri" w:eastAsia="Calibri" w:hAnsi="Calibri" w:cs="Calibri"/>
          <w:sz w:val="24"/>
          <w:szCs w:val="24"/>
        </w:rPr>
        <w:t>, bem como as respectivas ações planejadas para o seu atingimento, poderão ser alteradas até a data do encaminhamento ao Poder Legislativo da proposta orçamentária para 2021, se surgirem novas demandas ou situações em que haja necessidade da intervenção do Poder Público, ou em decorrência de créditos adicionais ocorridos.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Na hipótese prevista no parágrafo 1</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as alterações do Anexo III serão evidenciadas em demonstrativo específico, a ser encaminhado juntamente com a proposta orçamentária para o próximo exercício.</w:t>
      </w:r>
    </w:p>
    <w:p w:rsidR="00BF2152" w:rsidRPr="00F62300" w:rsidRDefault="00372D5E">
      <w:pPr>
        <w:jc w:val="center"/>
        <w:rPr>
          <w:rFonts w:ascii="Calibri" w:eastAsia="Calibri" w:hAnsi="Calibri" w:cs="Calibri"/>
          <w:sz w:val="24"/>
          <w:szCs w:val="24"/>
        </w:rPr>
      </w:pPr>
      <w:bookmarkStart w:id="3" w:name="_3znysh7" w:colFirst="0" w:colLast="0"/>
      <w:bookmarkEnd w:id="3"/>
      <w:r w:rsidRPr="00F62300">
        <w:rPr>
          <w:rFonts w:ascii="Calibri" w:eastAsia="Calibri" w:hAnsi="Calibri" w:cs="Calibri"/>
          <w:sz w:val="24"/>
          <w:szCs w:val="24"/>
        </w:rPr>
        <w:t>Capítulo III - Da Organização e Estrutura do Orçamento</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4º O Orçamento do Município terá sua despesa discriminada por órgão, unidade orçamentária, função, subfunção, programa, ação orçamentária e natureza de despesa detalhada até o nível de elemento.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O conceito de órgão corresponde ao maior nível da classificação institucional, que tem por finalidade agrupar unidades orçamentárias.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O conceito de unidade orçamentária corresponde ao menor nível da classificação institucional e sua classificação atenderá, no que couber, ao disposto no art. 14 da Lei Federal nº 4.320/64.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3º Os conceitos de função, subfunção, programa, projeto, atividade e operação especial são aqueles dispostos na Portaria n.º 42 do Ministério do Planejamento, Orçamento e Gestão, de 14 de abril de 1999, e em suas alterações.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4º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5º As operações especiais relacionadas ao pagamento de encargos gerais do Município, serão consignadas em unidade orçamentária específica.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BF2152" w:rsidRPr="00F62300" w:rsidRDefault="00BF2152">
      <w:pPr>
        <w:spacing w:after="160"/>
        <w:jc w:val="both"/>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Art. 5º Independentemente da natureza de despesa em que for classificado, todo e qualquer crédito orçamentário deve ser consignado diretamente à unidade orçamentária à qual pertencem as ações correspondentes.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6º Os orçamentos fiscal e da seguridade social compreenderão o conjunto das receitas públicas, bem como das despesas dos Poderes Executivo e Legislativo,  seus fundos, órgãos, autarquias e fundações instituídas e mantidas  pelo Poder Público, das empresas públicas, sociedades de economia mista e demais entidades em que o Município, direta ou indiretamente, detenha a maioria do capital social com direito a voto e que dele recebam recursos, devendo a correspondente execução ser registrada no sistema integrado de execução orçamentária e financeira a que se refere o art. 48, § 6º, da Lei Complementar n° 101, de 2000.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7º O Projeto de Lei Orçamentária Anual será encaminhado ao Poder Legislativo, conforme estabelecido no § 5º do art. 165 da Constituição Federal, no art. 87 da Lei Orgânica do Município e no art. 2º, da Lei Federal nº 4.320/1964.</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Parágrafo único. Integrarão a Proposta Orçamentária e a respectiva Lei Orçamentária, além dos quadros exigidos pela legislação federal: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discriminação da legislação básica da receita e da despesa dos orçamentos fiscal e da seguridade social;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demonstrativo da evolução da receita, por origem, em atendimento ao disposto no art. 12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demonstrativo da estimativa e compensação da renúncia de receita e da margem de expansão das despesas obrigatórias de caráter continuado, de acordo com o art. 5º, inciso II,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quadro que evidencie, em colunas distintas, as receitas por origem e as despesas por grupo de natureza de despesa, dos orçamentos fiscal e da seguridade social, conforme art. 165, § 5º, III, da Constituição Federal;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demonstrativo da receita por origem e planos de aplicação das despesas dos Fundos Especiais de que trata o art. 2º, § 2º, I, da Lei Federal nº 4.320/1964;</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 – demonstrativo de compatibilidade da programação do orçamento com a meta de resultado primário, observando-se, no que couber, ao disposto nos §§ 1º e 2º do art. 2º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 -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xml:space="preserve">VIII - demonstrativo da previsão das aplicações de recursos na Manutenção e Desenvolvimento do Ensino, nos termos da Lei Federal nº 9.394/1996;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IX - demonstrativo da previsão da aplicação anual do Município em Ações e Serviços Públicos de Saúde, nos termos da Lei Complementar nº 141/2012;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X - demonstrativo dos instrumentos de programação a serem financiados com recursos de operações de crédito realizadas e a realizar;</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XI - demonstrativo do cálculo do limite máximo da despesa do Poder Legislativo, conforme o artigo 29-A da Constituição Federal, observado o disposto no § 2º do art. 13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8º A mensagem que encaminhar o projeto de lei orçamentária anual conterá:</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relato sucinto da situação econômica e financeira do Município e projeções para o exercício de 2021, com destaque, se for o caso, para o comprometimento da receita corrente líquida com o pagamento da dívida;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resumo da política econômica e social do Governo;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memória de cálculo e justificativa da estimativa da receita e da fixação da despesa, observando-se, no que couber, ao disposto nos arts. 22, I, 39 e 30 da Lei Federal nº 4.320/1964 e no art. 12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demonstrativo da dívida fundada, assim como da evolução do seu estoque nos últimos três anos, a situação provável no final de 2020 e a previsão para o exercício de 2021;</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relação dos precatórios a serem cumpridos em 2021 com as dotações para tal fim constantes na proposta orçamentária;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9º. Deverão ser discriminadas em instrumentos de programação específicos as dotações destinadas: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às ações de alimentação escolar;</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às ações de transporte escolar;</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à concessão de subvenções econômicas e subsídios a pessoas físicas e jurídicas com finalidade lucrativa;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à concessão de subvenções sociais, contribuições correntes, contribuições de capital e auxílios a entidades privadas sem fins lucrativos;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à transferência de recursos para Consórcios Públicos em decorrência de contrato de rateio;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 - ao pagamento de precatórios judiciários, de sentenças judiciais de pequeno valor;</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xml:space="preserve">VII - às despesas com publicidade institucional;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VIII – às despesas com amortização, juros e encargos da dívida pública;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IX - ao pagamento de benefícios do Regime Próprio de Previdência Social;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X – ao custeio, pelo Município, de despesas de competência de outros entes da Federação.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Art.10. A Reserva de Contingência para fins de atendimento dos riscos fiscais especificados no Anexo II desta Lei será constituída, exclusivamente, de recursos não vinculados do Orçamento Fiscal, e será fixada em, no mínimo, 1,5 % (um inteiro e cinco centésimos por cento) da receita corrente líquida.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Para fins de utilização dos recursos a que se refere o </w:t>
      </w:r>
      <w:r w:rsidRPr="00F62300">
        <w:rPr>
          <w:rFonts w:ascii="Calibri" w:eastAsia="Calibri" w:hAnsi="Calibri" w:cs="Calibri"/>
          <w:i/>
          <w:sz w:val="24"/>
          <w:szCs w:val="24"/>
        </w:rPr>
        <w:t>caput</w:t>
      </w:r>
      <w:r w:rsidRPr="00F62300">
        <w:rPr>
          <w:rFonts w:ascii="Calibri" w:eastAsia="Calibri" w:hAnsi="Calibri" w:cs="Calibri"/>
          <w:sz w:val="24"/>
          <w:szCs w:val="24"/>
        </w:rPr>
        <w:t>, considera-se como evento fiscal imprevisto, a que se refere a alínea “b” do inciso III do caput do art. 5º da Lei Complementar nº 101/2000, a abertura de créditos adicionais para o atendimento de despesas não previstas ou insuficientemente dotadas na Lei Orçamentária de 2021.</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Além da Reserva de Contingência referida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o Projeto de Lei Orçamentária conterá reservas para o atendimento de programações decorrentes de emendas individuais que forem aprovadas nos termos dos arts. 33 a 36 desta Lei. </w:t>
      </w:r>
    </w:p>
    <w:p w:rsidR="00BF2152" w:rsidRPr="00F62300" w:rsidRDefault="00372D5E">
      <w:pPr>
        <w:jc w:val="center"/>
        <w:rPr>
          <w:rFonts w:ascii="Calibri" w:eastAsia="Calibri" w:hAnsi="Calibri" w:cs="Calibri"/>
          <w:sz w:val="24"/>
          <w:szCs w:val="24"/>
        </w:rPr>
      </w:pPr>
      <w:bookmarkStart w:id="4" w:name="_2et92p0" w:colFirst="0" w:colLast="0"/>
      <w:bookmarkEnd w:id="4"/>
      <w:r w:rsidRPr="00F62300">
        <w:rPr>
          <w:rFonts w:ascii="Calibri" w:eastAsia="Calibri" w:hAnsi="Calibri" w:cs="Calibri"/>
          <w:sz w:val="24"/>
          <w:szCs w:val="24"/>
        </w:rPr>
        <w:t>Capítulo IV - Das Diretrizes para Elaboração e</w:t>
      </w:r>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Execução do Orçamento e suas Alterações</w:t>
      </w:r>
    </w:p>
    <w:p w:rsidR="00BF2152" w:rsidRPr="00F62300" w:rsidRDefault="00BF2152">
      <w:pPr>
        <w:jc w:val="center"/>
        <w:rPr>
          <w:rFonts w:ascii="Calibri" w:eastAsia="Calibri" w:hAnsi="Calibri" w:cs="Calibri"/>
          <w:sz w:val="24"/>
          <w:szCs w:val="24"/>
        </w:rPr>
      </w:pPr>
    </w:p>
    <w:p w:rsidR="00BF2152" w:rsidRPr="00F62300" w:rsidRDefault="00372D5E">
      <w:pPr>
        <w:jc w:val="center"/>
        <w:rPr>
          <w:rFonts w:ascii="Calibri" w:eastAsia="Calibri" w:hAnsi="Calibri" w:cs="Calibri"/>
          <w:sz w:val="24"/>
          <w:szCs w:val="24"/>
        </w:rPr>
      </w:pPr>
      <w:bookmarkStart w:id="5" w:name="_tyjcwt" w:colFirst="0" w:colLast="0"/>
      <w:bookmarkEnd w:id="5"/>
      <w:r w:rsidRPr="00F62300">
        <w:rPr>
          <w:rFonts w:ascii="Calibri" w:eastAsia="Calibri" w:hAnsi="Calibri" w:cs="Calibri"/>
          <w:sz w:val="24"/>
          <w:szCs w:val="24"/>
        </w:rPr>
        <w:t>Seção I - Das Diretrizes Gerais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11. Os órgãos da Administração Indireta e o Poder Legislativo encaminharão à Secretaria Municipal da Fazenda, até 15 de outubro de 2020, suas respectivas propostas orçamentárias, para fins de consolidação do Projeto de Lei Orçamentária, observadas as disposições desta Lei.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Parágrafo único. O prazo estabelecido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também se aplica ao respectivo conselho, em relação às deliberações que, por força de norma legal, devem efetuar em relação às propostas de aplicação dos recursos vinculados: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ao Fundo Municipal de Saúde - FMS;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ao Fundo Municipal de Assistência Social - FMAS;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ao fundo Municipal dos direitos da Criança e do Adolescente - FMDCA;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IV – ao </w:t>
      </w:r>
      <w:r w:rsidRPr="00F62300">
        <w:rPr>
          <w:rFonts w:ascii="Calibri" w:eastAsia="Calibri" w:hAnsi="Calibri" w:cs="Calibri"/>
          <w:sz w:val="24"/>
          <w:szCs w:val="24"/>
          <w:highlight w:val="white"/>
        </w:rPr>
        <w:t>Fundo de Manutenção e Desenvolvimento da Educação Básica e de Valorização dos Profissionais da Educação (Fundeb), caso tenha sua vigência prorrogada, ou daquele que vier a substituí-lo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ao Regime Próprio de Previdência Social;</w:t>
      </w:r>
    </w:p>
    <w:p w:rsidR="00BF2152" w:rsidRPr="00F62300" w:rsidRDefault="00BF2152">
      <w:pPr>
        <w:spacing w:after="160"/>
        <w:jc w:val="both"/>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12.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A Câmara Municipal organizará audiência(s) pública(s) para discussão da proposta orçamentária durante o processo de sua apreciação e aprovação.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w:t>
      </w:r>
      <w:r w:rsidRPr="00F62300">
        <w:rPr>
          <w:rFonts w:ascii="Calibri" w:eastAsia="Calibri" w:hAnsi="Calibri" w:cs="Calibri"/>
          <w:sz w:val="24"/>
          <w:szCs w:val="24"/>
          <w:highlight w:val="white"/>
        </w:rPr>
        <w:t xml:space="preserve">Durante o estado de calamidade pública decretado para o enfrentamento da Covid-19, as audiências públicas de que trata este artigo serão realizadas </w:t>
      </w:r>
      <w:r w:rsidRPr="00F62300">
        <w:rPr>
          <w:rFonts w:ascii="Calibri" w:eastAsia="Calibri" w:hAnsi="Calibri" w:cs="Calibri"/>
          <w:sz w:val="24"/>
          <w:szCs w:val="24"/>
        </w:rPr>
        <w:t xml:space="preserve">de forma virtual, mediante o uso de tecnologias que permitam a participação de qualquer interessado.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Considerando a tramitação no Congresso Nacional de Propostas de Emenda à Constituição, em especial, a PEC 15/2015, que visam tornar o Fundo de Manutenção e Desenvolvimento da Educação Básica e de Valorização dos Profissionais da Educação – FUNDEB instrumento permanente de financiamento da Educação Básica Pública, deverão constar na proposta orçamentária de 2021, as previsões de receitas e despesas a serem executadas por conta dos referidos recursos.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Na hipótese de extinção definitiva do FUNDEB, nos termos do art. 48 da Lei Federal nº 11.494/2007, deverão ser adotadas, conforme o caso, as disposições dos §§1º e 3º do art. 2º e art. 20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4º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até mês de agosto, acrescida da tendência de arrecadação até o final do exercício.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14. Observado o disposto no art. 45 da Lei Complementar nº 101/2000, somente serão destinadas dotações para novos projetos para investimentos se: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I - tiverem sido adequada e suficientemente contempladas as despesas para conservação do patrimônio público e para os projetos em andamento, constantes do Anexo IV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 ação estiver compatível com o Plano Plurianual.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Para efeito do disposto no art. 16, § 3º, da Lei Complementar nº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nº 8.666/93, conforme o caso.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No caso de despesas com pessoal e respectivos encargos, desde que não configurem geração de despesa obrigatória de caráter continuado, serão consideradas irrelevantes aquelas cujo montante, em cada evento, não exceda a 10 (dez) vezes o menor padrão de vencimentos.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16.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o limite das respectivas dotações constantes da Lei Orçamentária de 2021 e de créditos adicionais;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os limites estabelecidos pela Lei Complementar nº 101/2000, no caso da geração de despesas com pessoal e respectivos encargos; 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o valor da margem líquida de expansão constante no demonstrativo previsto na alínea “h” do inciso I, do parágrafo único do art. 1º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Parágrafo único. No caso de criação ou aumentos de despesas decorrentes de ações destinadas ao combate de situação de calamidade pública, aplicam-se, no que couber, as disposições do art. 65, § 1º, III, da Lei Complementar nº 101/2000.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17.  O controle de custos e avaliação dos </w:t>
      </w:r>
      <w:r w:rsidRPr="00F62300">
        <w:rPr>
          <w:rFonts w:ascii="Calibri" w:eastAsia="Calibri" w:hAnsi="Calibri" w:cs="Calibri"/>
          <w:sz w:val="24"/>
          <w:szCs w:val="24"/>
          <w:highlight w:val="white"/>
        </w:rPr>
        <w:t>resultados dos programas financiados com recursos dos orçamentos</w:t>
      </w:r>
      <w:r w:rsidRPr="00F62300">
        <w:rPr>
          <w:rFonts w:ascii="Calibri" w:eastAsia="Calibri" w:hAnsi="Calibri" w:cs="Calibri"/>
          <w:sz w:val="24"/>
          <w:szCs w:val="24"/>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1º Os custos serão apurados e avaliados através das operações orçamentárias, tomando-se por base, a comparação entre as despesas autorizadas e liquidadas, bem como a comparação entre as metas físicas previstas e as realizadas.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Caberá À Secretaria Municipal de Infraestrutura organizar a formação de Grupos Setoriais de Custos, oportunizando o acesso a treinamentos, reuniões técnicas e outros eventos a serem realizados com vistas ao aperfeiçoamento da gestão de custos na Administração Pública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As informações sobre a previsão e execução física e financeira dos programas finalísticos, cujos totalidade de recursos contemplados no respectivo orçamento seja superior a R$ 300.000,00 (trezentos mil reais) deverão ser objeto de destaque no relatório de avaliação das metas fiscais do último quadrimestre do exercício, a ser apresentado em audiência pública na forma do art. 25 desta Lei. </w:t>
      </w:r>
    </w:p>
    <w:p w:rsidR="00BF2152" w:rsidRPr="00F62300" w:rsidRDefault="00372D5E">
      <w:pPr>
        <w:jc w:val="center"/>
        <w:rPr>
          <w:rFonts w:ascii="Calibri" w:eastAsia="Calibri" w:hAnsi="Calibri" w:cs="Calibri"/>
          <w:sz w:val="24"/>
          <w:szCs w:val="24"/>
        </w:rPr>
      </w:pPr>
      <w:bookmarkStart w:id="6" w:name="_3dy6vkm" w:colFirst="0" w:colLast="0"/>
      <w:bookmarkEnd w:id="6"/>
      <w:r w:rsidRPr="00F62300">
        <w:rPr>
          <w:rFonts w:ascii="Calibri" w:eastAsia="Calibri" w:hAnsi="Calibri" w:cs="Calibri"/>
          <w:sz w:val="24"/>
          <w:szCs w:val="24"/>
        </w:rPr>
        <w:t>Seção II - Das Diretrizes Específicas do Orçamento da Seguridade Social</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18. O Orçamento da Seguridade Social compreenderá as dotações destinadas a atender às ações de saúde, previdência e assistência social, e contará, entre outros, com recursos provenientes: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do produto da arrecadação de impostos e transferências constitucionais vinculados às ações e serviços públicos de saúde, nos termos da Lei Complementar nº 141, de 13 de janeiro de 2012;</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das receitas vinculadas ao Regime Próprio de Previdência Social dos Servidores Municipais, que serão utilizadas exclusivamente para o pagamento dos benefícios previdenciários de aposentadoria e pensão e para a Taxa de Administração, observados os critérios estabelecidos pela Portaria MPS nº 402/2008, ou pela norma que lhe for superveniente.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III – das demais receitas cujas despesas integram, exclusivamente, o orçamento referido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IV – de aportes de recursos do Orçamento Fiscal.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O orçamento da seguridade social será evidenciado na forma do demonstrativo previsto no inciso IV do parágrafo único do art. 7º desta Lei.</w:t>
      </w:r>
    </w:p>
    <w:p w:rsidR="00BF2152" w:rsidRPr="00F62300" w:rsidRDefault="00372D5E">
      <w:pPr>
        <w:jc w:val="center"/>
        <w:rPr>
          <w:rFonts w:ascii="Calibri" w:eastAsia="Calibri" w:hAnsi="Calibri" w:cs="Calibri"/>
          <w:sz w:val="24"/>
          <w:szCs w:val="24"/>
        </w:rPr>
      </w:pPr>
      <w:bookmarkStart w:id="7" w:name="_1t3h5sf" w:colFirst="0" w:colLast="0"/>
      <w:bookmarkEnd w:id="7"/>
      <w:r w:rsidRPr="00F62300">
        <w:rPr>
          <w:rFonts w:ascii="Calibri" w:eastAsia="Calibri" w:hAnsi="Calibri" w:cs="Calibri"/>
          <w:sz w:val="24"/>
          <w:szCs w:val="24"/>
        </w:rPr>
        <w:t>Seção III – Da programação financeira e limitação de empenhos</w:t>
      </w:r>
    </w:p>
    <w:p w:rsidR="00BF2152" w:rsidRPr="00F62300" w:rsidRDefault="00BF2152">
      <w:pPr>
        <w:jc w:val="both"/>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O ato referido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 e os que o modificarem conterá:</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I - metas quadrimestrais para o resultado primário acima da linha, que servirão de parâmetro para a avaliação de que trata o art. 9º, § 4º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cronograma de desembolso mensal de despesas, por órgão e unidade orçamentária.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20.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contrapartida para projetos ou atividades vinculados a recursos oriundos de fontes extraordinárias, como transferências voluntárias, operações de crédito, alienação de ativos, desde que ainda não comprometidos;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obras em geral, cuja fase ou etapa ainda não esteja iniciada;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aquisição de combustíveis e derivados, destinada à frota de veículos, exceto dos setores de educação e saúde;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IV - dotação para materiais de consumo e serviços de terceiros das diversas atividades;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V - diárias de viagem;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 - festividades, homenagens, recepções e demais eventos da mesma natureza;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 – despesas com publicidade institucional;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VIII - horas extras.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Não serão objeto de limitação de empenho: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despesas relacionadas com vinculações constitucionais e legais, nos termos do § 2º do art. 9º da Lei Complementar nº 101/2000 e do art. 28 da Lei Complementar Federal n.º 141, de 13 de janeiro de 2012;</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as despesas com o pagamento de precatórios e sentenças judiciais de pequeno valor;</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as despesas fixas e obrigatórias com pessoal e encargos sociais; 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xml:space="preserve">IV - as despesas financiadas com recursos de Transferências Voluntárias da União e do Estado, Operações de Crédito e Alienação de bens, observado o disposto no art. 24 desta Lei.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Na hipótese de ocorrência do disposto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 o Poder Executivo comunicará à Câmara Municipal o montante que lhe caberá tornar indisponível para empenho e movimentação financeira.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4º Os Chefes do Poder Executivo e do Poder Legislativo deverão divulgar, em ato próprio, os ajustes processados, que será discriminado, no mínimo, por unidade orçamentária.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5º Ocorrendo o restabelecimento da receita prevista, a recomposição se fará obedecendo ao disposto no art. 9º, § 1º,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Até o último dia útil do exercício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3º O eventual saldo que não for devolvido no prazo estabelecido no parágrafo anterior, será devidamente registrado na contabilidade e considerado como antecipação de repasse do exercício financeiro de 2022.</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2º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Enquanto não aprovada a Lei Orçamentária de 2021, os valores consignados no respectivo Projeto de Lei poderão ser utilizados para demonstrar, quando exigível, a previsão orçamentária nos procedimentos referentes à fase interna da licitação.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No caso de despesas relativas a obras e prestação de serviços, consideram-se compromissadas apenas as prestações cujos pagamentos devam ser realizados no exercício financeiro, observado o cronograma pactuado.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Compete ao Poder Legislativo Municipal, mediante prévio agendamento com o Poder Executivo, convocar e coordenar a realização das audiências públicas referidas no </w:t>
      </w:r>
      <w:r w:rsidRPr="00F62300">
        <w:rPr>
          <w:rFonts w:ascii="Calibri" w:eastAsia="Calibri" w:hAnsi="Calibri" w:cs="Calibri"/>
          <w:i/>
          <w:sz w:val="24"/>
          <w:szCs w:val="24"/>
        </w:rPr>
        <w:t>caput</w:t>
      </w:r>
      <w:r w:rsidRPr="00F62300">
        <w:rPr>
          <w:rFonts w:ascii="Calibri" w:eastAsia="Calibri" w:hAnsi="Calibri" w:cs="Calibri"/>
          <w:sz w:val="24"/>
          <w:szCs w:val="24"/>
        </w:rPr>
        <w:t>.</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w:t>
      </w:r>
      <w:r w:rsidRPr="00F62300">
        <w:rPr>
          <w:rFonts w:ascii="Calibri" w:eastAsia="Calibri" w:hAnsi="Calibri" w:cs="Calibri"/>
          <w:sz w:val="24"/>
          <w:szCs w:val="24"/>
          <w:highlight w:val="white"/>
        </w:rPr>
        <w:t xml:space="preserve">Durante o estado de calamidade pública decretado para o enfrentamento da Covid-19, as audiências públicas de que trata este artigo serão realizadas </w:t>
      </w:r>
      <w:r w:rsidRPr="00F62300">
        <w:rPr>
          <w:rFonts w:ascii="Calibri" w:eastAsia="Calibri" w:hAnsi="Calibri" w:cs="Calibri"/>
          <w:sz w:val="24"/>
          <w:szCs w:val="24"/>
        </w:rPr>
        <w:t>de forma virtual, mediante o uso de tecnologias que permitam a participação de qualquer interessado.</w:t>
      </w:r>
    </w:p>
    <w:p w:rsidR="00BF2152" w:rsidRPr="00F62300" w:rsidRDefault="00372D5E">
      <w:pPr>
        <w:jc w:val="center"/>
        <w:rPr>
          <w:rFonts w:ascii="Calibri" w:eastAsia="Calibri" w:hAnsi="Calibri" w:cs="Calibri"/>
          <w:sz w:val="24"/>
          <w:szCs w:val="24"/>
        </w:rPr>
      </w:pPr>
      <w:bookmarkStart w:id="8" w:name="_4d34og8" w:colFirst="0" w:colLast="0"/>
      <w:bookmarkEnd w:id="8"/>
      <w:r w:rsidRPr="00F62300">
        <w:rPr>
          <w:rFonts w:ascii="Calibri" w:eastAsia="Calibri" w:hAnsi="Calibri" w:cs="Calibri"/>
          <w:sz w:val="24"/>
          <w:szCs w:val="24"/>
        </w:rPr>
        <w:t>Seção IV - Das Alterações da Lei Orçamentária</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26. A abertura de créditos suplementares e especiais dependerá da existência de recursos disponíveis para a despesa, nos termos da Lei Federal nº 4.320/1964.</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A apuração do excesso de arrecadação para fins de abertura de créditos adicionais será realizada por fonte de recursos, conforme exigência contida no art. 8º, parágrafo único, da Lei Complementar nº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Os recursos alocados na Lei Orçamentária de 2021 para pagamento de precatórios somente poderão ser cancelados para a abertura de créditos suplementares ou especiais para finalidades diversas mediante autorização legislativa específica.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4º Nos casos de abertura de créditos suplementares e especiais à conta de superávit financeiro, as exposições de motivos conterão informações relativas 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superávit financeiro do exercício de 2020, por fonte de recursos;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créditos especiais e extraordinários reabertos no exercício de 2021;</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III - valores já utilizados em créditos adicionais, abertos ou em tramitação;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saldo atualizado do superávit financeiro disponível, por fonte de recursos.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6º Os projetos de lei relativos a créditos suplementares ou especiais solicitados pelo Poder Legislativo, com indicação de recursos de redução de dotações do próprio poder, serão encaminhados à Câmara Municipal no prazo de até 15 (quinze) dias, a contar do recebimento da solicitação.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7º Os créditos adicionais serão abertos conforme detalhamento constante no art. 4.º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27.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28. A reabertura dos créditos especiais e extraordinários, conforme disposto no art. 167, § 2º, da Constituição Federal, será efetivada, quando necessária, até 31 (trinta e um) de julho de 2021.</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Caso seja necessário, a codificação da programação objeto da reabertura dos créditos especiais e extraordinários poderá ser adequada à constante da Lei Orçamentária de 2021, desde que não haja alteração da finalidade das ações orçamentárias.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29.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 VERIFICAR ARTIGO!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Para fins do disposto no caput, considera-se:</w:t>
      </w:r>
    </w:p>
    <w:p w:rsidR="00BF2152" w:rsidRPr="00F62300" w:rsidRDefault="00372D5E">
      <w:pPr>
        <w:spacing w:after="160"/>
        <w:jc w:val="both"/>
        <w:rPr>
          <w:rFonts w:ascii="Calibri" w:eastAsia="Calibri" w:hAnsi="Calibri" w:cs="Calibri"/>
          <w:sz w:val="24"/>
          <w:szCs w:val="24"/>
          <w:highlight w:val="white"/>
        </w:rPr>
      </w:pPr>
      <w:r w:rsidRPr="00F62300">
        <w:rPr>
          <w:rFonts w:ascii="Calibri" w:eastAsia="Calibri" w:hAnsi="Calibri" w:cs="Calibri"/>
          <w:sz w:val="24"/>
          <w:szCs w:val="24"/>
        </w:rPr>
        <w:t xml:space="preserve">I – Transposições: deslocamento de dotações orçamentárias entre programas de trabalho alocados </w:t>
      </w:r>
      <w:r w:rsidRPr="00F62300">
        <w:rPr>
          <w:rFonts w:ascii="Calibri" w:eastAsia="Calibri" w:hAnsi="Calibri" w:cs="Calibri"/>
          <w:sz w:val="24"/>
          <w:szCs w:val="24"/>
          <w:highlight w:val="white"/>
        </w:rPr>
        <w:t>dentro do mesmo órgão ou unidade orçamentária;</w:t>
      </w:r>
    </w:p>
    <w:p w:rsidR="00BF2152" w:rsidRPr="00F62300" w:rsidRDefault="00372D5E">
      <w:pPr>
        <w:spacing w:after="160"/>
        <w:jc w:val="both"/>
        <w:rPr>
          <w:rFonts w:ascii="Calibri" w:eastAsia="Calibri" w:hAnsi="Calibri" w:cs="Calibri"/>
          <w:sz w:val="24"/>
          <w:szCs w:val="24"/>
          <w:highlight w:val="white"/>
        </w:rPr>
      </w:pPr>
      <w:r w:rsidRPr="00F62300">
        <w:rPr>
          <w:rFonts w:ascii="Calibri" w:eastAsia="Calibri" w:hAnsi="Calibri" w:cs="Calibri"/>
          <w:sz w:val="24"/>
          <w:szCs w:val="24"/>
          <w:highlight w:val="white"/>
        </w:rPr>
        <w:lastRenderedPageBreak/>
        <w:t>II – Remanejamentos: deslocamento de dotações orçamentárias de um órgão para outro ou de uma unidade orçamentária para outra;</w:t>
      </w:r>
    </w:p>
    <w:p w:rsidR="00BF2152" w:rsidRPr="00F62300" w:rsidRDefault="00372D5E">
      <w:pPr>
        <w:spacing w:after="160"/>
        <w:jc w:val="both"/>
        <w:rPr>
          <w:rFonts w:ascii="Calibri" w:eastAsia="Calibri" w:hAnsi="Calibri" w:cs="Calibri"/>
          <w:sz w:val="24"/>
          <w:szCs w:val="24"/>
          <w:highlight w:val="white"/>
        </w:rPr>
      </w:pPr>
      <w:r w:rsidRPr="00F62300">
        <w:rPr>
          <w:rFonts w:ascii="Calibri" w:eastAsia="Calibri" w:hAnsi="Calibri" w:cs="Calibri"/>
          <w:sz w:val="24"/>
          <w:szCs w:val="24"/>
          <w:highlight w:val="white"/>
        </w:rPr>
        <w:t xml:space="preserve">III – Transferências: deslocamento de dotações de despesas correntes para despesas de capital, ou vice-versa, dentro do mesmo órgão ou unidade orçamentária e do mesmo programa de trabalho.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As transposições, transferências ou remanejamentos não poderão resultar em alteração do total da despesa autorizada na Lei Orçamentária, podendo haver, excepcionalmente, ajuste na classificação por funções e subfunções.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BF2152" w:rsidRPr="00F62300" w:rsidRDefault="00372D5E">
      <w:pPr>
        <w:jc w:val="center"/>
        <w:rPr>
          <w:rFonts w:ascii="Calibri" w:eastAsia="Calibri" w:hAnsi="Calibri" w:cs="Calibri"/>
          <w:sz w:val="24"/>
          <w:szCs w:val="24"/>
        </w:rPr>
      </w:pPr>
      <w:bookmarkStart w:id="9" w:name="_2s8eyo1" w:colFirst="0" w:colLast="0"/>
      <w:bookmarkEnd w:id="9"/>
      <w:r w:rsidRPr="00F62300">
        <w:rPr>
          <w:rFonts w:ascii="Calibri" w:eastAsia="Calibri" w:hAnsi="Calibri" w:cs="Calibri"/>
          <w:sz w:val="24"/>
          <w:szCs w:val="24"/>
        </w:rPr>
        <w:t>Seção V - Da execução provisória do Projeto de Lei Orçamentária</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31. Se o projeto de lei orçamentária não for aprovado até 31 de dezembro de 2020,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Excetuam-se do disposto no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Não será interrompido o processamento de despesas com obras em andamento, assim entendidas aquelas constantes no projeto de lei orçamentária cuja execução financeira, até 31 de dezembro de 2020, tenha ultrapassado 20% (vinte por cento) do valor contratado.</w:t>
      </w:r>
    </w:p>
    <w:p w:rsidR="00BF2152" w:rsidRPr="00F62300" w:rsidRDefault="00372D5E">
      <w:pPr>
        <w:jc w:val="center"/>
        <w:rPr>
          <w:rFonts w:ascii="Calibri" w:eastAsia="Calibri" w:hAnsi="Calibri" w:cs="Calibri"/>
          <w:sz w:val="24"/>
          <w:szCs w:val="24"/>
        </w:rPr>
      </w:pPr>
      <w:bookmarkStart w:id="10" w:name="_17dp8vu" w:colFirst="0" w:colLast="0"/>
      <w:bookmarkEnd w:id="10"/>
      <w:r w:rsidRPr="00F62300">
        <w:rPr>
          <w:rFonts w:ascii="Calibri" w:eastAsia="Calibri" w:hAnsi="Calibri" w:cs="Calibri"/>
          <w:sz w:val="24"/>
          <w:szCs w:val="24"/>
        </w:rPr>
        <w:t>Seção VI - Das Disposições Relativas às Emendas</w:t>
      </w:r>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ao Projeto de Lei de Orçamento</w:t>
      </w:r>
    </w:p>
    <w:p w:rsidR="00BF2152" w:rsidRPr="00F62300" w:rsidRDefault="00BF2152">
      <w:pPr>
        <w:jc w:val="center"/>
        <w:rPr>
          <w:rFonts w:ascii="Calibri" w:eastAsia="Calibri" w:hAnsi="Calibri" w:cs="Calibri"/>
          <w:sz w:val="24"/>
          <w:szCs w:val="24"/>
        </w:rPr>
      </w:pPr>
    </w:p>
    <w:p w:rsidR="00BF2152" w:rsidRPr="00F62300" w:rsidRDefault="00372D5E">
      <w:pPr>
        <w:jc w:val="center"/>
        <w:rPr>
          <w:rFonts w:ascii="Calibri" w:eastAsia="Calibri" w:hAnsi="Calibri" w:cs="Calibri"/>
          <w:sz w:val="24"/>
          <w:szCs w:val="24"/>
        </w:rPr>
      </w:pPr>
      <w:bookmarkStart w:id="11" w:name="_3rdcrjn" w:colFirst="0" w:colLast="0"/>
      <w:bookmarkEnd w:id="11"/>
      <w:r w:rsidRPr="00F62300">
        <w:rPr>
          <w:rFonts w:ascii="Calibri" w:eastAsia="Calibri" w:hAnsi="Calibri" w:cs="Calibri"/>
          <w:sz w:val="24"/>
          <w:szCs w:val="24"/>
        </w:rPr>
        <w:t>Subseção I – Disposições Gerais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32.  Toda e qualquer e emenda ao projeto de lei orçamentária ou aos projetos de lei que a modifiquem, deverão ser compatíveis com os programas e objetivos da Lei nº 3.566/17 - Plano Plurianual 2018/2021 e com as diretrizes, disposições, prioridades e metas desta Lei.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Não serão admitidas, com a ressalva do inciso III do § 3º do art. 166 da Constituição Federal, as emendas que resultem na diminuição das programações das despesas com pessoal e encargos sociais e com o serviço da dívida.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2º Para fins do disposto no § 3º, inciso I, do art. 166 da Constituição, serão consideradas incompatíveis com as diretrizes orçamentárias estabelecidas por 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as emendas que acarretem a aplicação de recursos abaixo dos limites constitucionais mínimos previstos para os gastos com a manutenção e desenvolvimento do ensino e com as ações e serviços públicos de saúde;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as emendas que não preservem as dotações destinadas ao pagamento de sentenças judiciais;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as emendas que reduzirem o montante de dotações suportadas por recursos oriundos de transferências legais ou voluntárias da União e do Estado, alienação de bens e operações de crédito;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IV – as emendas que reduzirem em mais de 70 % (setenta) o montante destinado para despesas de conservação do patrimônio público e para os projetos em andamento, constantes do Anexo IV desta Lei.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3º Para fins do disposto no art. 166, § 8º, da Constituição Federal, serão levados à reserva de contingência os recursos que, em decorrência de veto, emenda ou rejeição do projeto da Lei Orçamentária Anual, ficarem sem despesas correspondentes.</w:t>
      </w:r>
    </w:p>
    <w:p w:rsidR="00BF2152" w:rsidRPr="00F62300" w:rsidRDefault="00372D5E">
      <w:pPr>
        <w:jc w:val="center"/>
        <w:rPr>
          <w:rFonts w:ascii="Calibri" w:eastAsia="Calibri" w:hAnsi="Calibri" w:cs="Calibri"/>
          <w:sz w:val="24"/>
          <w:szCs w:val="24"/>
        </w:rPr>
      </w:pPr>
      <w:bookmarkStart w:id="12" w:name="_26in1rg" w:colFirst="0" w:colLast="0"/>
      <w:bookmarkEnd w:id="12"/>
      <w:r w:rsidRPr="00F62300">
        <w:rPr>
          <w:rFonts w:ascii="Calibri" w:eastAsia="Calibri" w:hAnsi="Calibri" w:cs="Calibri"/>
          <w:sz w:val="24"/>
          <w:szCs w:val="24"/>
        </w:rPr>
        <w:t>Subseção II - Do Regime de Aprovação e Execução das Emendas Individuais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33. Sem prejuízo do disposto no §§ 9º a 18 do art. 166 da Constituição da República, o regime de aprovação e execução das emendas individuais ao projeto de lei orçamentária atenderá ao disposto nesta subseção.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34. É obrigatória a execução orçamentária e financeira, de forma equitativa, das programações decorrentes de emendas individuais aprovadas ao projeto de lei orçamentária, observado, na execução, o limite estabelecido no § 11 do art. 166 da Constituição.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Considera-se equitativa a execução das programações que atenda, de forma objetiva, igualitária e impessoal, as emendas apresentadas, independentemente da autoria.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3º A obrigatoriedade de execução orçamentária e financeira de que trata o caput compreende, cumulativamente, o empenho, a liquidação da despesa e o respectivo pagamento.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4º Se durante o exercício financeiro de 2021 for verificada a frustração de receitas na forma estabelecida pelos §§3° e 4º do art. 2º desta Lei, que determine a limitação de empenhos e movimentação financeira, a execução orçamentária das programações orçamentárias das emendas individuais poderá ser reduzida na mesma proporção.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Art. 35. Para fins de atendimento ao disposto no art. 34, sem prejuízo da redução prevista no seu § 4º, o Projeto de Lei Orçamentária de 2021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Para fins de cálculo do valor da Receita Corrente Liquida de que trata o caput, considerar-se-á a metodologia estabelecida na Instrução Normativa nº 06/2019, do Tribunal de Contas do Estado ou a norma que lhe for superveniente.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O valor do limite para apresentação das emendas individuais por autor será obtido a partir da divisão do montante estabelecido no caput pelo número de vereadores com assento da Câmara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É vedada qualquer forma de cessão ou transferência entre vereadores ou entre bancadas, do limite individual de que trata o parágrafo anterior.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4º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rsidR="00BF2152" w:rsidRPr="00F62300" w:rsidRDefault="00372D5E">
      <w:pPr>
        <w:jc w:val="both"/>
        <w:rPr>
          <w:rFonts w:ascii="Calibri" w:eastAsia="Calibri" w:hAnsi="Calibri" w:cs="Calibri"/>
          <w:sz w:val="24"/>
          <w:szCs w:val="24"/>
        </w:rPr>
      </w:pPr>
      <w:bookmarkStart w:id="13" w:name="_lnxbz9" w:colFirst="0" w:colLast="0"/>
      <w:bookmarkEnd w:id="13"/>
      <w:r w:rsidRPr="00F62300">
        <w:rPr>
          <w:rFonts w:ascii="Calibri" w:eastAsia="Calibri" w:hAnsi="Calibri" w:cs="Calibri"/>
          <w:sz w:val="24"/>
          <w:szCs w:val="24"/>
        </w:rPr>
        <w:t xml:space="preserve"> Art. 36. Para fins do disposto no § 13 do art. 166 da Constituição, serão considerados impedimentos de ordem técnica quaisquer situações ou eventos de ordem fática ou legal que obstam ou suspendem a execução da programação orçamentária em consonância com as regras e os princípios que regem a administração pública.</w:t>
      </w:r>
    </w:p>
    <w:p w:rsidR="00BF2152" w:rsidRPr="00F62300" w:rsidRDefault="00BF2152">
      <w:pPr>
        <w:jc w:val="both"/>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Sem prejuízo de outros critérios e procedimentos adicionais que venham a ser estabelecidos em ato do Poder Executivo, são consideradas hipóteses de impedimentos de ordem técnica: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I - não indicação, pelo autor da emenda individual, quando for o caso, do beneficiário e respectivo valor da emenda, observado o disposto no §2º, do art. 34 desta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II – não cumprimento pela entidade beneficiária, dos requisitos estabelecidos na Seção VII do Capítulo IV desta Lei, no caso de emendas que proponham transferências de recursos sob a forma de subvenções, auxílios ou contribuições;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III -  desistência expressa do autor da emenda;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IV - incompatibilidade do objeto da emenda com a finalidade do programa ou da ação orçamentária emendada;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V – no caso de emendas relativas à aquisição de equipamentos ou execução de obras ou instalações:</w:t>
      </w:r>
    </w:p>
    <w:p w:rsidR="00BF2152" w:rsidRPr="00F62300" w:rsidRDefault="00372D5E">
      <w:pPr>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 xml:space="preserve"> a) incompatibilidade do valor proposto com o custo de aquisição dos insumos ou equipamentos ou, no caso de obras, com o cronograma físico financeiro de execução </w:t>
      </w:r>
      <w:r w:rsidRPr="00F62300">
        <w:rPr>
          <w:rFonts w:ascii="Calibri" w:eastAsia="Calibri" w:hAnsi="Calibri" w:cs="Calibri"/>
          <w:sz w:val="24"/>
          <w:szCs w:val="24"/>
        </w:rPr>
        <w:lastRenderedPageBreak/>
        <w:t>do projeto que permita, no mínimo, a conclusão de etapa útil com funcionalidade que permita o usufruto dos benefícios pela sociedade;</w:t>
      </w:r>
    </w:p>
    <w:p w:rsidR="00BF2152" w:rsidRPr="00F62300" w:rsidRDefault="00372D5E">
      <w:pPr>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 xml:space="preserve"> b) ausência de projeto de engenharia aprovado pelo órgão responsável, nos casos em que for necessário;</w:t>
      </w:r>
    </w:p>
    <w:p w:rsidR="00BF2152" w:rsidRPr="00F62300" w:rsidRDefault="00372D5E">
      <w:pPr>
        <w:jc w:val="both"/>
        <w:rPr>
          <w:rFonts w:ascii="Calibri" w:eastAsia="Calibri" w:hAnsi="Calibri" w:cs="Calibri"/>
          <w:sz w:val="24"/>
          <w:szCs w:val="24"/>
        </w:rPr>
      </w:pPr>
      <w:r w:rsidRPr="00F62300">
        <w:rPr>
          <w:rFonts w:ascii="Calibri" w:eastAsia="Calibri" w:hAnsi="Calibri" w:cs="Calibri"/>
          <w:sz w:val="24"/>
          <w:szCs w:val="24"/>
        </w:rPr>
        <w:tab/>
        <w:t>c) a ausência de licença ambiental prévia, nos casos em que for necessária;</w:t>
      </w:r>
    </w:p>
    <w:p w:rsidR="00BF2152" w:rsidRPr="00F62300" w:rsidRDefault="00372D5E">
      <w:pPr>
        <w:jc w:val="both"/>
        <w:rPr>
          <w:rFonts w:ascii="Calibri" w:eastAsia="Calibri" w:hAnsi="Calibri" w:cs="Calibri"/>
          <w:sz w:val="24"/>
          <w:szCs w:val="24"/>
        </w:rPr>
      </w:pPr>
      <w:r w:rsidRPr="00F62300">
        <w:rPr>
          <w:rFonts w:ascii="Calibri" w:eastAsia="Calibri" w:hAnsi="Calibri" w:cs="Calibri"/>
          <w:sz w:val="24"/>
          <w:szCs w:val="24"/>
        </w:rPr>
        <w:tab/>
        <w:t>d) não comprovação, por parte do órgão ou entidade beneficiada pela emenda, da capacidade de aportar recursos para manutenção e operação do empreendimento, após a sua conclusão;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 xml:space="preserve"> VI – a aprovação de emenda individual que conceda dotação para instalação ou funcionamento de serviço público que não esteja anteriormente criado por Lei;</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VII – a não indicação da Reserva de Contingência referida no art. 34 desta Lei como fonte de recursos para as emendas individuais;</w:t>
      </w:r>
    </w:p>
    <w:p w:rsidR="00BF2152" w:rsidRPr="00F62300" w:rsidRDefault="00372D5E">
      <w:pPr>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t>§ 2º Em atendimento ao disposto no § 14 do art. 166 da Constituição, com o fim de viabilizar a execução das programações incluídas por emendas individuais, até 30 (trinta) dias após a publicação da Lei Orçamentária, o Poder Executivo estabelecerá, em decreto, o cronograma para análise e verificação de eventuais impedimentos das programações e demais procedimentos necessários à viabilização da execução das emendas de que trata esta subseção.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 3º As dotações orçamentárias relativas às emendas individuais que permanecerem com impedimento técnico após 20 de novembro de 2021 poderão ser utilizadas pelo Poder Executivo como fonte de recursos para a abertura de créditos adicionais, na forma da Lei Federal nº 4.320/1964.</w:t>
      </w:r>
    </w:p>
    <w:p w:rsidR="00BF2152" w:rsidRPr="00F62300" w:rsidRDefault="00372D5E">
      <w:pPr>
        <w:jc w:val="both"/>
        <w:rPr>
          <w:rFonts w:ascii="Calibri" w:eastAsia="Calibri" w:hAnsi="Calibri" w:cs="Calibri"/>
          <w:sz w:val="24"/>
          <w:szCs w:val="24"/>
        </w:rPr>
      </w:pPr>
      <w:r w:rsidRPr="00F62300">
        <w:rPr>
          <w:rFonts w:ascii="Calibri" w:eastAsia="Calibri" w:hAnsi="Calibri" w:cs="Calibri"/>
          <w:sz w:val="24"/>
          <w:szCs w:val="24"/>
        </w:rPr>
        <w:t xml:space="preserve"> </w:t>
      </w:r>
      <w:r w:rsidRPr="00F62300">
        <w:rPr>
          <w:rFonts w:ascii="Calibri" w:eastAsia="Calibri" w:hAnsi="Calibri" w:cs="Calibri"/>
          <w:sz w:val="24"/>
          <w:szCs w:val="24"/>
        </w:rPr>
        <w:tab/>
      </w:r>
    </w:p>
    <w:p w:rsidR="00BF2152" w:rsidRPr="00F62300" w:rsidRDefault="00372D5E">
      <w:pPr>
        <w:jc w:val="center"/>
        <w:rPr>
          <w:rFonts w:ascii="Calibri" w:eastAsia="Calibri" w:hAnsi="Calibri" w:cs="Calibri"/>
          <w:sz w:val="24"/>
          <w:szCs w:val="24"/>
        </w:rPr>
      </w:pPr>
      <w:bookmarkStart w:id="14" w:name="_35nkun2" w:colFirst="0" w:colLast="0"/>
      <w:bookmarkEnd w:id="14"/>
      <w:r w:rsidRPr="00F62300">
        <w:rPr>
          <w:rFonts w:ascii="Calibri" w:eastAsia="Calibri" w:hAnsi="Calibri" w:cs="Calibri"/>
          <w:sz w:val="24"/>
          <w:szCs w:val="24"/>
        </w:rPr>
        <w:t>Seção VII - Da Destinação de Recursos Públicos a Pessoas Físicas e Jurídicas</w:t>
      </w:r>
    </w:p>
    <w:p w:rsidR="00BF2152" w:rsidRPr="00F62300" w:rsidRDefault="00BF2152">
      <w:pPr>
        <w:jc w:val="both"/>
        <w:rPr>
          <w:rFonts w:ascii="Calibri" w:eastAsia="Calibri" w:hAnsi="Calibri" w:cs="Calibri"/>
          <w:sz w:val="24"/>
          <w:szCs w:val="24"/>
        </w:rPr>
      </w:pPr>
      <w:bookmarkStart w:id="15" w:name="_1ksv4uv" w:colFirst="0" w:colLast="0"/>
      <w:bookmarkEnd w:id="15"/>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Subseção I - Das Subvenções Econômicas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37.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Em atendimento ao disposto no art. 19 da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4.320/1964, a destinação de recursos às entidades privadas com fins lucrativos de que trata 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somente poderá ocorrer por meio de subvenções econômicas, sendo vedada a transferência a título de contribuições ou auxílios para despesas de capital.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38.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BF2152" w:rsidRPr="00F62300" w:rsidRDefault="00372D5E">
      <w:pPr>
        <w:jc w:val="center"/>
        <w:rPr>
          <w:rFonts w:ascii="Calibri" w:eastAsia="Calibri" w:hAnsi="Calibri" w:cs="Calibri"/>
          <w:sz w:val="24"/>
          <w:szCs w:val="24"/>
        </w:rPr>
      </w:pPr>
      <w:bookmarkStart w:id="16" w:name="_44sinio" w:colFirst="0" w:colLast="0"/>
      <w:bookmarkEnd w:id="16"/>
      <w:r w:rsidRPr="00F62300">
        <w:rPr>
          <w:rFonts w:ascii="Calibri" w:eastAsia="Calibri" w:hAnsi="Calibri" w:cs="Calibri"/>
          <w:sz w:val="24"/>
          <w:szCs w:val="24"/>
        </w:rPr>
        <w:lastRenderedPageBreak/>
        <w:t>Subseção II - Das Subvenções Sociais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39. A transferência de recursos a título de subvenções sociais, nos termos dos arts. 12, § 3º, I, 16 e 17 da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4.320/1964, atenderá às entidades privadas sem fins lucrativos que exerçam atividades de natureza continuada nas áreas de cultura, assistência social, saúde e educação.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As subvenções que se destinarem à cobertura de déficits de funcionamento das entidades mencionadas no caput deverão ser autorizadas por lei específica, nos termos do art. 26 da Lei Complementar nº 101/2000.</w:t>
      </w:r>
    </w:p>
    <w:p w:rsidR="00BF2152" w:rsidRPr="00F62300" w:rsidRDefault="00372D5E">
      <w:pPr>
        <w:jc w:val="center"/>
        <w:rPr>
          <w:rFonts w:ascii="Calibri" w:eastAsia="Calibri" w:hAnsi="Calibri" w:cs="Calibri"/>
          <w:sz w:val="24"/>
          <w:szCs w:val="24"/>
        </w:rPr>
      </w:pPr>
      <w:bookmarkStart w:id="17" w:name="_2jxsxqh" w:colFirst="0" w:colLast="0"/>
      <w:bookmarkEnd w:id="17"/>
      <w:r w:rsidRPr="00F62300">
        <w:rPr>
          <w:rFonts w:ascii="Calibri" w:eastAsia="Calibri" w:hAnsi="Calibri" w:cs="Calibri"/>
          <w:sz w:val="24"/>
          <w:szCs w:val="24"/>
        </w:rPr>
        <w:t>Subseção III - Das Contribuições Correntes e de Capital</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40. A transferência de recursos a título de contribuição corrente somente será destinada a entidades sem fins lucrativos que preencham uma das seguintes condições: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estejam autorizadas em lei específica, que identifique expressamente a entidade beneficiária, sendo tal condição obrigatória quando os recursos se destinarem à cobertura de déficit de funcionamento da entidade beneficiada;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estejam nominalmente identificadas na Lei Orçamentária; ou</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sejam selecionadas para execução, em parceria com a Administração Pública Municipal, de atividades ou projetos que contribuam diretamente para o alcance de diretrizes, objetivos e metas previstas no Plano Plurianual.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41. A alocação de recursos para entidades privadas sem fins lucrativos, a título de contribuições de capital, fica condicionada à autorização em lei especial anterior de que trata o art. 12, § 6</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da Lei Federal n</w:t>
      </w:r>
      <w:r w:rsidRPr="00F62300">
        <w:rPr>
          <w:rFonts w:ascii="Calibri" w:eastAsia="Calibri" w:hAnsi="Calibri" w:cs="Calibri"/>
          <w:sz w:val="24"/>
          <w:szCs w:val="24"/>
          <w:u w:val="single"/>
          <w:vertAlign w:val="superscript"/>
        </w:rPr>
        <w:t xml:space="preserve">o </w:t>
      </w:r>
      <w:r w:rsidRPr="00F62300">
        <w:rPr>
          <w:rFonts w:ascii="Calibri" w:eastAsia="Calibri" w:hAnsi="Calibri" w:cs="Calibri"/>
          <w:sz w:val="24"/>
          <w:szCs w:val="24"/>
          <w:vertAlign w:val="superscript"/>
        </w:rPr>
        <w:t xml:space="preserve">   </w:t>
      </w:r>
      <w:r w:rsidRPr="00F62300">
        <w:rPr>
          <w:rFonts w:ascii="Calibri" w:eastAsia="Calibri" w:hAnsi="Calibri" w:cs="Calibri"/>
          <w:sz w:val="24"/>
          <w:szCs w:val="24"/>
        </w:rPr>
        <w:t>4.320/1964.</w:t>
      </w:r>
    </w:p>
    <w:p w:rsidR="00BF2152" w:rsidRPr="00F62300" w:rsidRDefault="00372D5E">
      <w:pPr>
        <w:jc w:val="center"/>
        <w:rPr>
          <w:rFonts w:ascii="Calibri" w:eastAsia="Calibri" w:hAnsi="Calibri" w:cs="Calibri"/>
          <w:sz w:val="24"/>
          <w:szCs w:val="24"/>
        </w:rPr>
      </w:pPr>
      <w:bookmarkStart w:id="18" w:name="_z337ya" w:colFirst="0" w:colLast="0"/>
      <w:bookmarkEnd w:id="18"/>
      <w:r w:rsidRPr="00F62300">
        <w:rPr>
          <w:rFonts w:ascii="Calibri" w:eastAsia="Calibri" w:hAnsi="Calibri" w:cs="Calibri"/>
          <w:sz w:val="24"/>
          <w:szCs w:val="24"/>
        </w:rPr>
        <w:t>Subseção IV - Dos Auxílios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42. A transferência de recursos a título de auxílios, previstos no art. 12, § 6</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da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4.320/1964, somente poderá ser realizada para entidades privadas sem fins lucrativos que sejam:</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de atendimento direto e gratuito ao público e voltadas para a educação básica;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para o desenvolvimento de programas voltados a manutenção e preservação do Meio Ambiente;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voltadas a ações de saúde e de atendimento direto e gratuito ao público, prestadas por entidades sem fins lucrativos que sejam certificadas como entidades beneficentes de assistência social na área de saúde;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qualificadas como Organização da Sociedade Civil de Interesse Público - OSCIP, com termo de parceria firmada com o Poder Público Municipal, de acordo com 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9.790/1999, e que participem da execução de programas constantes no plano plurianual, devendo a destinação de recursos guardar conformidade com os objetivos sociais da entidade;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qualificadas para o desenvolvimento de atividades esportivas que contribuam para a formação e capacitação de atletas;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VI - destinada a atender, assegurar e a promover o exercício dos direitos e das liberdades fundamentais por pessoa com deficiência, visando à sua habilitação, reabilitação e integração social e cidadania, nos termos da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13.146/2015;</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12.305/2010, regulamentada pelo Decreto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7.404/2010; 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VIII - voltadas ao atendimento direto e gratuito ao público na área de assistência social que: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 se destinem a pessoas idosas, crianças e adolescentes em situação de vulnerabilidade social, risco pessoal e social;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b) sejam voltadas ao atendimento de pessoas em situação de vulnerabilidade social, violação de direito ou diretamente alcançadas por programas e ações de combate à pobreza e geração de trabalho e renda;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1º No caso do inciso I, a transferência de recursos públicos deve ser obrigatoriamente justificada e vinculada ao plano de expansão da oferta pública na respectiva etapa e modalidade de educação.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2º No caso do inciso IV, as transferências serão efetuadas por meio de termo de parceria, caso em que deverá ser observada a legislação específica pertinente a essas entidades e processo seletivo de ampla divulgação.</w:t>
      </w:r>
    </w:p>
    <w:p w:rsidR="00BF2152" w:rsidRPr="00F62300" w:rsidRDefault="00372D5E">
      <w:pPr>
        <w:jc w:val="center"/>
        <w:rPr>
          <w:rFonts w:ascii="Calibri" w:eastAsia="Calibri" w:hAnsi="Calibri" w:cs="Calibri"/>
          <w:sz w:val="24"/>
          <w:szCs w:val="24"/>
        </w:rPr>
      </w:pPr>
      <w:bookmarkStart w:id="19" w:name="_3j2qqm3" w:colFirst="0" w:colLast="0"/>
      <w:bookmarkEnd w:id="19"/>
      <w:r w:rsidRPr="00F62300">
        <w:rPr>
          <w:rFonts w:ascii="Calibri" w:eastAsia="Calibri" w:hAnsi="Calibri" w:cs="Calibri"/>
          <w:sz w:val="24"/>
          <w:szCs w:val="24"/>
        </w:rPr>
        <w:t>Subseção V - Das Disposições Gerais para Destinação de</w:t>
      </w:r>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Recursos Públicos para Pessoas Físicas e Jurídicas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43. Sem prejuízo das demais disposições contidas nesta seção, a transferência de recursos prevista na Lei Federal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4.320/1964, a entidade privada sem fins lucrativos, dependerá ainda 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execução da despesa na modalidade de aplicação 50 – Transferências a Instituições Privadas sem fins lucrativos;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estar regularmente constituída, assim considerado: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b) tenha escrituração de acordo com os princípios fundamentais de contabilidade e com as Normas Brasileiras de Contabilidade;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ter apresentado as prestações de contas de recursos anteriormente recebidos, nos prazos e condições fixados na legislação e no convênio ou termo de parceria, contrato ou instrumento congênere celebrados;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 – não ter como dirigente pessoa que: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 seja membro de Poder, órgão ou entidade da Administração Pública Municipal, estendendo-se a vedação aos respectivos cônjuges ou companheiros, bem como parentes em linha reta, colateral ou por afinidade, até o segundo grau;</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b) incida em quaisquer das hipóteses de inelegibilidade previstas no art. 1</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inciso I, da Lei Complementar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xml:space="preserve"> 64, de 18 de maio de 1990;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d) tenha sido julgada responsável por falta grave e inabilitada para o exercício de cargo em comissão ou função de confiança, enquanto durar a inabilitação;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e) tenha sido considerada responsável por ato de improbidade, enquanto durarem os prazos estabelecidos nos incisos I, II e III do art. 12 da Lei no</w:t>
      </w:r>
      <w:r w:rsidRPr="00F62300">
        <w:rPr>
          <w:rFonts w:ascii="Calibri" w:eastAsia="Calibri" w:hAnsi="Calibri" w:cs="Calibri"/>
          <w:sz w:val="24"/>
          <w:szCs w:val="24"/>
          <w:u w:val="single"/>
        </w:rPr>
        <w:t> </w:t>
      </w:r>
      <w:r w:rsidRPr="00F62300">
        <w:rPr>
          <w:rFonts w:ascii="Calibri" w:eastAsia="Calibri" w:hAnsi="Calibri" w:cs="Calibri"/>
          <w:sz w:val="24"/>
          <w:szCs w:val="24"/>
        </w:rPr>
        <w:t>8.429, de 2 de junho de 1992.</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Caberá a Secretaria Municipal de Infraestrutura verificar e declarar a implementação das condições previstas neste artigo e demais requisitos estabelecidos nesta seção, comunicando à Unidade Central de Controle Interno eventuais irregularidades verificadas.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44.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BF2152" w:rsidRPr="00F62300" w:rsidRDefault="00BF2152">
      <w:pPr>
        <w:spacing w:after="160"/>
        <w:jc w:val="both"/>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45.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xml:space="preserve">I – nome e CNPJ da entidade;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II – nome, função e CPF dos dirigentes;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III – área de atuação;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IV – endereço da sede;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V – data, objeto, valor e número do convênio, termo de parceria, contrato ou instrumento congênere;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VI – valores transferidos e respectivas datas.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46.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F62300">
        <w:rPr>
          <w:rFonts w:ascii="Calibri" w:eastAsia="Calibri" w:hAnsi="Calibri" w:cs="Calibri"/>
          <w:sz w:val="24"/>
          <w:szCs w:val="24"/>
          <w:u w:val="single"/>
          <w:vertAlign w:val="superscript"/>
        </w:rPr>
        <w:t>o</w:t>
      </w:r>
      <w:r w:rsidRPr="00F62300">
        <w:rPr>
          <w:rFonts w:ascii="Calibri" w:eastAsia="Calibri" w:hAnsi="Calibri" w:cs="Calibri"/>
          <w:sz w:val="24"/>
          <w:szCs w:val="24"/>
        </w:rPr>
        <w:t> 101/2000.</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47. Toda movimentação de recursos relativos às subvenções, contribuições e auxílios de que trata esta Seção, por parte das entidades beneficiárias, somente será realizada observando-se os seguintes preceitos: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depósito e movimentação em conta bancária específica para cada instrumento de transferência;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desembolsos mediante documento bancário, por meio do qual se faça crédito na conta bancária de titularidade do fornecedor ou prestador de serviços.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48. Não se aplicam a disposições desta seção os recursos entregues a Consórcios Públicos mediante contrato de rateio, nos termos regulados pela Lei Federal nº 11.107/2005 e pelo Decreto Federal nº 6.017/2017.</w:t>
      </w:r>
    </w:p>
    <w:p w:rsidR="00BF2152" w:rsidRPr="00F62300" w:rsidRDefault="00BF2152">
      <w:pPr>
        <w:jc w:val="center"/>
        <w:rPr>
          <w:rFonts w:ascii="Calibri" w:eastAsia="Calibri" w:hAnsi="Calibri" w:cs="Calibri"/>
          <w:sz w:val="24"/>
          <w:szCs w:val="24"/>
        </w:rPr>
      </w:pPr>
      <w:bookmarkStart w:id="20" w:name="_1y810tw" w:colFirst="0" w:colLast="0"/>
      <w:bookmarkEnd w:id="20"/>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Capítulo V - Das Disposições Relativas à Dívida Pública Municipal</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49. A lei orçamentária anual garantirá recursos para pagamento da dívida pública municipal, nos termos dos compromissos firmados, inclusive com a previdência social.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50.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BF2152" w:rsidRPr="00F62300" w:rsidRDefault="00372D5E">
      <w:pPr>
        <w:jc w:val="center"/>
        <w:rPr>
          <w:rFonts w:ascii="Calibri" w:eastAsia="Calibri" w:hAnsi="Calibri" w:cs="Calibri"/>
          <w:sz w:val="24"/>
          <w:szCs w:val="24"/>
        </w:rPr>
      </w:pPr>
      <w:bookmarkStart w:id="21" w:name="_4i7ojhp" w:colFirst="0" w:colLast="0"/>
      <w:bookmarkEnd w:id="21"/>
      <w:r w:rsidRPr="00F62300">
        <w:rPr>
          <w:rFonts w:ascii="Calibri" w:eastAsia="Calibri" w:hAnsi="Calibri" w:cs="Calibri"/>
          <w:sz w:val="24"/>
          <w:szCs w:val="24"/>
        </w:rPr>
        <w:t xml:space="preserve">Capítulo VI - Das Disposições Relativas às Despesas </w:t>
      </w:r>
    </w:p>
    <w:p w:rsidR="00BF2152" w:rsidRPr="00F62300" w:rsidRDefault="00372D5E">
      <w:pPr>
        <w:jc w:val="center"/>
        <w:rPr>
          <w:rFonts w:ascii="Calibri" w:eastAsia="Calibri" w:hAnsi="Calibri" w:cs="Calibri"/>
          <w:sz w:val="24"/>
          <w:szCs w:val="24"/>
        </w:rPr>
      </w:pPr>
      <w:r w:rsidRPr="00F62300">
        <w:rPr>
          <w:rFonts w:ascii="Calibri" w:eastAsia="Calibri" w:hAnsi="Calibri" w:cs="Calibri"/>
          <w:sz w:val="24"/>
          <w:szCs w:val="24"/>
        </w:rPr>
        <w:t>com Pessoal e Encargos Sociais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xml:space="preserve"> Art. 51. No exercício de 2021, a </w:t>
      </w:r>
      <w:r w:rsidRPr="00F62300">
        <w:rPr>
          <w:rFonts w:ascii="Calibri" w:eastAsia="Calibri" w:hAnsi="Calibri" w:cs="Calibri"/>
          <w:sz w:val="24"/>
          <w:szCs w:val="24"/>
          <w:highlight w:val="white"/>
        </w:rPr>
        <w:t xml:space="preserve">concessão de vantagens, aumento de remuneração, criação de cargos, empregos e funções ou alteração de estrutura de carreiras, bem como a admissão ou contratação de pessoal, a qualquer título, pelos </w:t>
      </w:r>
      <w:r w:rsidRPr="00F62300">
        <w:rPr>
          <w:rFonts w:ascii="Calibri" w:eastAsia="Calibri" w:hAnsi="Calibri" w:cs="Calibri"/>
          <w:sz w:val="24"/>
          <w:szCs w:val="24"/>
        </w:rPr>
        <w:t xml:space="preserve">Poderes Executivo e Legislativo, compreendidas as entidades mencionadas no art. 6º dessa Lei, deverão obedecer às disposições deste capítulo e, no que couber, a Lei Complementar nº 101/2000 e a Lei Complementar nº 173/2020.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Os Poderes Executivo e Legislativo terão como base de projeção de suas propostas orçamentárias, relativo a pessoal e encargos sociais, a despesa com a folha de pagamento do mês de agosto de 2020, compatibilizada com as despesas apresentadas até esse mês e os eventuais acréscimos legais com efeito financeiro em 2021, inclusive a revisão geral anual da remuneração dos servidores públicos e o crescimento vegetativo.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52. Para fins dos limites previstos no art. 19, inciso III, alíneas “a” e “b” da Lei Complementar nº 101/2000, o cálculo das despesas com pessoal dos poderes executivo e legislativo deverá observar as prescrições da Instrução Normativa nº 06/2019 do Tribunal de Contas do Estado, ou a norma que lhe for superveniente.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53.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O Poder Legislativo, observará o cumprimento do disposto neste artigo, mediante ato da mesa diretora da Câmara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54.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conceder vantagens e aumentar a remuneração de servidores;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criar e extinguir cargos públicos e alterar a estrutura de carreiras;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III – prover cargos efetivos, mediante concurso público, bem como efetuar contratações por tempo determinado para atender à necessidade temporária de excepcional interesse público, respeitada a legislação municipal vigente;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IV – prover cargos em comissão e funções de confiança.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1º Também estão autorizadas as seguintes ações, relacionadas com a política de pessoal da Administração Municipal: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proporcionar o desenvolvimento profissional de servidores municipais, mediante a realização de programas de treinamento;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proporcionar o desenvolvimento pessoal dos servidores municipais, mediante a realização de programas informativos, educativos e culturais;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III - melhorar as condições de trabalho, equipamentos e infraestrutura, especialmente no que concerne à saúde, alimentação, transporte e segurança no trabalho.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3º As estimativas de impacto orçamentário-financeiro e declaração do ordenador de despesas para o aumento dos gastos com pessoal, terão validade de 3 (três) meses contados da data da sua elaboração, devendo tais documentos ser reelaborados na hipótese de não ser praticado, dentro deste prazo, o ato que resulte aumento da despesa com pessoal.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4º No caso de aumento de despesas com pessoal do Poder Legislativo, deverão ser obedecidos, adicionalmente, os limites fixados nos arts. 29 e 29-A da Constituição Federal.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5º Os atos que provoquem aumento da despesa de que tratam os incisos I, II, III e IV do Caput serão considerados nulos de pleno direito, caso não atendam às exigências previstas nos incisos I e II do § 2º.</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7º Ficam dispensados, da estimativa de impacto orçamentário e financeiro, atos de concessão de vantagens já previstas na legislação pertinente, de caráter meramente declaratório.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55.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as situações de emergência ou de calamidade pública;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as situações de risco iminente à segurança de pessoas ou bens;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III – a relação custo-benefício se revelar mais favorável em relação a outra alternativa possível.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A autorização para a realização de serviço extraordinário, no âmbito do Poder Executivo, nas condições estabelecidas neste artigo, é de exclusiva competência do Prefeito Municipal.</w:t>
      </w:r>
    </w:p>
    <w:p w:rsidR="00BF2152" w:rsidRPr="00F62300" w:rsidRDefault="00372D5E">
      <w:pPr>
        <w:jc w:val="center"/>
        <w:rPr>
          <w:rFonts w:ascii="Calibri" w:eastAsia="Calibri" w:hAnsi="Calibri" w:cs="Calibri"/>
          <w:sz w:val="24"/>
          <w:szCs w:val="24"/>
        </w:rPr>
      </w:pPr>
      <w:bookmarkStart w:id="22" w:name="_2xcytpi" w:colFirst="0" w:colLast="0"/>
      <w:bookmarkEnd w:id="22"/>
      <w:r w:rsidRPr="00F62300">
        <w:rPr>
          <w:rFonts w:ascii="Calibri" w:eastAsia="Calibri" w:hAnsi="Calibri" w:cs="Calibri"/>
          <w:sz w:val="24"/>
          <w:szCs w:val="24"/>
        </w:rPr>
        <w:t>Capítulo VII - Das Alterações na Legislação Tributária</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56. As receitas serão estimadas e discriminadas: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considerando a legislação tributária vigente até a data do envio do projeto de lei orçamentária à Câmara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considerando, se for o caso, os efeitos das alterações na legislação tributária, resultantes de projetos de lei encaminhados à Câmara Municipal até a data de apresentação da proposta orçamentária de 2021, especialmente sobre: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 atualização da planta genérica de valores do Município;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c) revisão da legislação sobre o uso do solo, com redefinição dos limites da zona urbana municipal;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d) revisão da legislação referente ao Imposto Sobre Serviços de Qualquer Natureza;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e) revisão da legislação aplicável ao Imposto Sobre Transmissão Inter Vivos de Bens Imóveis e de Direitos Reais sobre Imóveis;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f) instituição de novas taxas pela prestação de serviços públicos e pelo exercício do poder de polícia;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g) revisão das isenções tributárias, para atender ao interesse público e à justiça social;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h) revisão das contribuições sociais, destinadas à seguridade social, cuja necessidade tenha sido evidenciada através de cálculo atuarial;</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demais incentivos e benefícios fiscais.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57.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58.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 aumento de receita proveniente de elevação de alíquota, ampliação da base de cálculo, majoração ou criação de tributo ou contribuição;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b) cancelamento, durante o período em que vigorar o benefício, de despesas em valor equivalente.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3º Não se sujeitam às regras do §1º:</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 -  a homologação de pedidos de isenção, remissão ou anistia apresentados com base na legislação municipal preexistente;</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II – a concessão de incentivos ou benefícios fiscais de natureza tributária ou não tributária cujo impacto seja irrelevante, assim considerado o limite de 0,1% (um décimo por cento) da Receita Corrente Líquida prevista para o exercício de 2021.</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III – os  incentivos ou benefícios fiscais de natureza tributária ou não tributária concedidos de acordo com as disposições do art.65, § 1º, III, da Lei Complementar nº 101/2000.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59.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BF2152" w:rsidRPr="00F62300" w:rsidRDefault="00BF2152">
      <w:pPr>
        <w:spacing w:after="160"/>
        <w:jc w:val="both"/>
        <w:rPr>
          <w:rFonts w:ascii="Calibri" w:eastAsia="Calibri" w:hAnsi="Calibri" w:cs="Calibri"/>
          <w:sz w:val="24"/>
          <w:szCs w:val="24"/>
        </w:rPr>
      </w:pPr>
    </w:p>
    <w:p w:rsidR="00BF2152" w:rsidRPr="00F62300" w:rsidRDefault="00372D5E">
      <w:pPr>
        <w:jc w:val="center"/>
        <w:rPr>
          <w:rFonts w:ascii="Calibri" w:eastAsia="Calibri" w:hAnsi="Calibri" w:cs="Calibri"/>
          <w:sz w:val="24"/>
          <w:szCs w:val="24"/>
        </w:rPr>
      </w:pPr>
      <w:bookmarkStart w:id="23" w:name="_1ci93xb" w:colFirst="0" w:colLast="0"/>
      <w:bookmarkEnd w:id="23"/>
      <w:r w:rsidRPr="00F62300">
        <w:rPr>
          <w:rFonts w:ascii="Calibri" w:eastAsia="Calibri" w:hAnsi="Calibri" w:cs="Calibri"/>
          <w:sz w:val="24"/>
          <w:szCs w:val="24"/>
        </w:rPr>
        <w:t>Capítulo VIII - Das Disposições Gerais</w:t>
      </w:r>
    </w:p>
    <w:p w:rsidR="00BF2152" w:rsidRPr="00F62300" w:rsidRDefault="00BF2152">
      <w:pPr>
        <w:jc w:val="center"/>
        <w:rPr>
          <w:rFonts w:ascii="Calibri" w:eastAsia="Calibri" w:hAnsi="Calibri" w:cs="Calibri"/>
          <w:sz w:val="24"/>
          <w:szCs w:val="24"/>
        </w:rPr>
      </w:pP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60.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lastRenderedPageBreak/>
        <w:t xml:space="preserve">Parágrafo único. A Lei Orçamentária anual, ou seus créditos adicionais, deverão contemplar recursos orçamentários suficientes para o atendimento das despesas de que trata o </w:t>
      </w:r>
      <w:r w:rsidRPr="00F62300">
        <w:rPr>
          <w:rFonts w:ascii="Calibri" w:eastAsia="Calibri" w:hAnsi="Calibri" w:cs="Calibri"/>
          <w:i/>
          <w:sz w:val="24"/>
          <w:szCs w:val="24"/>
        </w:rPr>
        <w:t>caput</w:t>
      </w:r>
      <w:r w:rsidRPr="00F62300">
        <w:rPr>
          <w:rFonts w:ascii="Calibri" w:eastAsia="Calibri" w:hAnsi="Calibri" w:cs="Calibri"/>
          <w:sz w:val="24"/>
          <w:szCs w:val="24"/>
        </w:rPr>
        <w:t xml:space="preserve"> deste artigo.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 xml:space="preserve">Art. 61. Por meio da Secretaria Municipal de Infraestrutura e Administração,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62. Em consonância com o que dispõe o § 5º do art. 166 da Constituição Federal e o art. 88 da Lei Orgânica Municipal, poderá o Prefeito enviar Mensagem à Câmara Municipal para propor modificações aos projetos de lei orçamentária enquanto não estiver concluída a votação da parte cuja alteração é proposta.</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63 Fica facultado ao Poder Executivo publicar no órgão oficial de imprensa, de forma simplificada, a Lei Orçamentária Anual bem como as leis e os decretos de abertura dos créditos adicionais.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64. Fica autorizada a retificação e republicação da Lei Orçamentária e dos Créditos Adicionais, nos casos de inexatidões formais.</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Parágrafo único. Para os fins do disposto no caput consideram-se inexatidões formais quaisquer inconformidades com a legislação vigente, da codificação ou descrição de órgãos, unidades orçamentárias, funções, subfunções, programas, natureza da despesa ou da receita e fontes de recursos, desde que não impliquem em mudança de valores e de finalidade da programação.</w:t>
      </w:r>
    </w:p>
    <w:p w:rsidR="00BF2152" w:rsidRPr="00F62300" w:rsidRDefault="00372D5E">
      <w:pPr>
        <w:spacing w:after="160"/>
        <w:jc w:val="both"/>
        <w:rPr>
          <w:rFonts w:ascii="Calibri" w:eastAsia="Calibri" w:hAnsi="Calibri" w:cs="Calibri"/>
          <w:sz w:val="24"/>
          <w:szCs w:val="24"/>
        </w:rPr>
      </w:pPr>
      <w:r w:rsidRPr="00F62300">
        <w:rPr>
          <w:rFonts w:ascii="Calibri" w:eastAsia="Calibri" w:hAnsi="Calibri" w:cs="Calibri"/>
          <w:sz w:val="24"/>
          <w:szCs w:val="24"/>
        </w:rPr>
        <w:t>Art. 65. Esta Lei entra em vigor na data de sua publicação.</w:t>
      </w:r>
    </w:p>
    <w:p w:rsidR="00BF2152" w:rsidRPr="00F62300" w:rsidRDefault="00BF2152"/>
    <w:p w:rsidR="00BF2152" w:rsidRPr="00F62300" w:rsidRDefault="00BF2152">
      <w:pPr>
        <w:jc w:val="center"/>
        <w:rPr>
          <w:rFonts w:ascii="Calibri" w:eastAsia="Calibri" w:hAnsi="Calibri" w:cs="Calibri"/>
          <w:sz w:val="24"/>
          <w:szCs w:val="24"/>
        </w:rPr>
      </w:pPr>
    </w:p>
    <w:p w:rsidR="00BF2152" w:rsidRPr="00F62300" w:rsidRDefault="00262AA0">
      <w:pPr>
        <w:spacing w:line="360" w:lineRule="auto"/>
        <w:jc w:val="center"/>
        <w:rPr>
          <w:rFonts w:ascii="Calibri" w:eastAsia="Calibri" w:hAnsi="Calibri" w:cs="Calibri"/>
          <w:b/>
          <w:sz w:val="24"/>
          <w:szCs w:val="24"/>
        </w:rPr>
      </w:pPr>
      <w:r>
        <w:rPr>
          <w:rFonts w:ascii="Calibri" w:eastAsia="Calibri" w:hAnsi="Calibri" w:cs="Calibri"/>
          <w:b/>
          <w:sz w:val="24"/>
          <w:szCs w:val="24"/>
        </w:rPr>
        <w:t>Júlio Cesar Prates Cunha</w:t>
      </w:r>
      <w:bookmarkStart w:id="24" w:name="_GoBack"/>
      <w:bookmarkEnd w:id="24"/>
    </w:p>
    <w:p w:rsidR="00BF2152" w:rsidRPr="00F62300" w:rsidRDefault="00372D5E">
      <w:pPr>
        <w:spacing w:line="360" w:lineRule="auto"/>
        <w:jc w:val="center"/>
        <w:rPr>
          <w:rFonts w:ascii="Calibri" w:eastAsia="Calibri" w:hAnsi="Calibri" w:cs="Calibri"/>
          <w:sz w:val="24"/>
          <w:szCs w:val="24"/>
        </w:rPr>
      </w:pPr>
      <w:r w:rsidRPr="00F62300">
        <w:rPr>
          <w:rFonts w:ascii="Calibri" w:eastAsia="Calibri" w:hAnsi="Calibri" w:cs="Calibri"/>
          <w:sz w:val="24"/>
          <w:szCs w:val="24"/>
        </w:rPr>
        <w:t>Prefeito Municipal</w:t>
      </w:r>
      <w:r w:rsidR="00DA3B41">
        <w:rPr>
          <w:rFonts w:ascii="Calibri" w:eastAsia="Calibri" w:hAnsi="Calibri" w:cs="Calibri"/>
          <w:sz w:val="24"/>
          <w:szCs w:val="24"/>
        </w:rPr>
        <w:t>, em exercício</w:t>
      </w:r>
    </w:p>
    <w:p w:rsidR="00BF2152" w:rsidRPr="00F62300" w:rsidRDefault="00BF2152">
      <w:pPr>
        <w:jc w:val="center"/>
        <w:rPr>
          <w:rFonts w:ascii="Calibri" w:eastAsia="Calibri" w:hAnsi="Calibri" w:cs="Calibri"/>
          <w:sz w:val="24"/>
          <w:szCs w:val="24"/>
        </w:rPr>
      </w:pPr>
    </w:p>
    <w:p w:rsidR="00F62300" w:rsidRPr="00F62300" w:rsidRDefault="00F62300" w:rsidP="00F62300">
      <w:pPr>
        <w:tabs>
          <w:tab w:val="right" w:pos="8504"/>
        </w:tabs>
        <w:spacing w:line="360" w:lineRule="auto"/>
        <w:rPr>
          <w:rFonts w:ascii="Calibri" w:eastAsia="Calibri" w:hAnsi="Calibri" w:cs="Calibri"/>
          <w:sz w:val="24"/>
          <w:szCs w:val="24"/>
        </w:rPr>
      </w:pPr>
      <w:r w:rsidRPr="00F62300">
        <w:rPr>
          <w:rFonts w:ascii="Calibri" w:eastAsia="Calibri" w:hAnsi="Calibri" w:cs="Calibri"/>
          <w:sz w:val="24"/>
          <w:szCs w:val="24"/>
        </w:rPr>
        <w:t>REGISTRE-SE E PUBLIQUE-SE:</w:t>
      </w:r>
      <w:r w:rsidRPr="00F62300">
        <w:rPr>
          <w:rFonts w:ascii="Calibri" w:eastAsia="Calibri" w:hAnsi="Calibri" w:cs="Calibri"/>
          <w:sz w:val="24"/>
          <w:szCs w:val="24"/>
        </w:rPr>
        <w:tab/>
      </w:r>
    </w:p>
    <w:p w:rsidR="00F62300" w:rsidRPr="00F62300" w:rsidRDefault="00F62300" w:rsidP="00F62300">
      <w:pPr>
        <w:tabs>
          <w:tab w:val="right" w:pos="8504"/>
        </w:tabs>
        <w:spacing w:line="360" w:lineRule="auto"/>
        <w:rPr>
          <w:rFonts w:ascii="Calibri" w:eastAsia="Calibri" w:hAnsi="Calibri" w:cs="Calibri"/>
          <w:sz w:val="24"/>
          <w:szCs w:val="24"/>
        </w:rPr>
      </w:pPr>
    </w:p>
    <w:p w:rsidR="00F62300" w:rsidRPr="00F62300" w:rsidRDefault="00F62300" w:rsidP="00F62300">
      <w:pPr>
        <w:tabs>
          <w:tab w:val="right" w:pos="8504"/>
        </w:tabs>
        <w:spacing w:line="360" w:lineRule="auto"/>
        <w:rPr>
          <w:rFonts w:ascii="Calibri" w:eastAsia="Calibri" w:hAnsi="Calibri" w:cs="Calibri"/>
          <w:b/>
          <w:sz w:val="24"/>
          <w:szCs w:val="24"/>
        </w:rPr>
      </w:pPr>
      <w:r w:rsidRPr="00F62300">
        <w:rPr>
          <w:rFonts w:ascii="Calibri" w:eastAsia="Calibri" w:hAnsi="Calibri" w:cs="Calibri"/>
          <w:b/>
          <w:sz w:val="24"/>
          <w:szCs w:val="24"/>
        </w:rPr>
        <w:t xml:space="preserve">Fábio Medeiros de Freitas </w:t>
      </w:r>
    </w:p>
    <w:p w:rsidR="00BF2152" w:rsidRPr="00F62300" w:rsidRDefault="00F62300" w:rsidP="00F62300">
      <w:pPr>
        <w:tabs>
          <w:tab w:val="right" w:pos="8504"/>
        </w:tabs>
        <w:spacing w:line="360" w:lineRule="auto"/>
        <w:rPr>
          <w:rFonts w:ascii="Calibri" w:eastAsia="Calibri" w:hAnsi="Calibri" w:cs="Calibri"/>
          <w:sz w:val="24"/>
          <w:szCs w:val="24"/>
        </w:rPr>
      </w:pPr>
      <w:r w:rsidRPr="00F62300">
        <w:rPr>
          <w:rFonts w:ascii="Calibri" w:eastAsia="Calibri" w:hAnsi="Calibri" w:cs="Calibri"/>
          <w:sz w:val="24"/>
          <w:szCs w:val="24"/>
        </w:rPr>
        <w:t>Secretário de Infraestrutura e Administração</w:t>
      </w:r>
    </w:p>
    <w:p w:rsidR="00BF2152" w:rsidRPr="00F62300" w:rsidRDefault="00BF2152">
      <w:pPr>
        <w:tabs>
          <w:tab w:val="right" w:pos="8504"/>
        </w:tabs>
        <w:spacing w:line="360" w:lineRule="auto"/>
        <w:rPr>
          <w:rFonts w:ascii="Calibri" w:eastAsia="Calibri" w:hAnsi="Calibri" w:cs="Calibri"/>
          <w:sz w:val="24"/>
          <w:szCs w:val="24"/>
        </w:rPr>
      </w:pPr>
    </w:p>
    <w:p w:rsidR="00BF2152" w:rsidRPr="00F62300" w:rsidRDefault="00BF2152">
      <w:pPr>
        <w:tabs>
          <w:tab w:val="right" w:pos="8504"/>
        </w:tabs>
        <w:spacing w:line="360" w:lineRule="auto"/>
        <w:rPr>
          <w:rFonts w:ascii="Calibri" w:eastAsia="Calibri" w:hAnsi="Calibri" w:cs="Calibri"/>
          <w:sz w:val="24"/>
          <w:szCs w:val="24"/>
        </w:rPr>
      </w:pPr>
    </w:p>
    <w:sectPr w:rsidR="00BF2152" w:rsidRPr="00F62300">
      <w:headerReference w:type="default" r:id="rId6"/>
      <w:footerReference w:type="default" r:id="rId7"/>
      <w:pgSz w:w="11906" w:h="16838"/>
      <w:pgMar w:top="993" w:right="1701" w:bottom="993" w:left="1701" w:header="1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310" w:rsidRDefault="005B3310">
      <w:r>
        <w:separator/>
      </w:r>
    </w:p>
  </w:endnote>
  <w:endnote w:type="continuationSeparator" w:id="0">
    <w:p w:rsidR="005B3310" w:rsidRDefault="005B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52" w:rsidRDefault="00F62300">
    <w:pPr>
      <w:pBdr>
        <w:top w:val="nil"/>
        <w:left w:val="nil"/>
        <w:bottom w:val="nil"/>
        <w:right w:val="nil"/>
        <w:between w:val="nil"/>
      </w:pBdr>
      <w:tabs>
        <w:tab w:val="center" w:pos="4252"/>
        <w:tab w:val="right" w:pos="8504"/>
      </w:tabs>
      <w:rPr>
        <w:rFonts w:ascii="Calibri" w:eastAsia="Calibri" w:hAnsi="Calibri" w:cs="Calibri"/>
        <w:color w:val="000000"/>
        <w:sz w:val="18"/>
        <w:szCs w:val="18"/>
      </w:rPr>
    </w:pPr>
    <w:r>
      <w:rPr>
        <w:noProof/>
      </w:rPr>
      <mc:AlternateContent>
        <mc:Choice Requires="wps">
          <w:drawing>
            <wp:anchor distT="0" distB="0" distL="114300" distR="114300" simplePos="0" relativeHeight="251663360" behindDoc="0" locked="0" layoutInCell="1" allowOverlap="1" wp14:anchorId="3E70AB2D" wp14:editId="0363B937">
              <wp:simplePos x="0" y="0"/>
              <wp:positionH relativeFrom="column">
                <wp:posOffset>-32385</wp:posOffset>
              </wp:positionH>
              <wp:positionV relativeFrom="paragraph">
                <wp:posOffset>-79375</wp:posOffset>
              </wp:positionV>
              <wp:extent cx="561022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61022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55BD54" id="Conector re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5pt,-6.25pt" to="439.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" strokecolor="black [3213]" strokeweight=".25pt">
              <v:shadow on="t" color="black" opacity="24903f" origin=",.5" offset="0,.55556mm"/>
            </v:line>
          </w:pict>
        </mc:Fallback>
      </mc:AlternateContent>
    </w:r>
    <w:r w:rsidR="00372D5E">
      <w:rPr>
        <w:rFonts w:ascii="Calibri" w:eastAsia="Calibri" w:hAnsi="Calibri" w:cs="Calibri"/>
        <w:color w:val="000000"/>
        <w:sz w:val="18"/>
        <w:szCs w:val="18"/>
      </w:rPr>
      <w:tab/>
      <w:t xml:space="preserve">Fone/Fax.: (51) 3651-1744 </w:t>
    </w:r>
    <w:r w:rsidR="00372D5E">
      <w:rPr>
        <w:rFonts w:ascii="Calibri" w:eastAsia="Calibri" w:hAnsi="Calibri" w:cs="Calibri"/>
        <w:color w:val="000000"/>
        <w:sz w:val="18"/>
        <w:szCs w:val="18"/>
      </w:rPr>
      <w:tab/>
    </w:r>
    <w:r w:rsidR="00372D5E">
      <w:rPr>
        <w:noProof/>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Conector de seta reta 1"/>
              <wp:cNvGraphicFramePr/>
              <a:graphic xmlns:a="http://schemas.openxmlformats.org/drawingml/2006/main">
                <a:graphicData uri="http://schemas.microsoft.com/office/word/2010/wordprocessingShape">
                  <wps:wsp>
                    <wps:cNvCnPr/>
                    <wps:spPr>
                      <a:xfrm>
                        <a:off x="5246940" y="3760950"/>
                        <a:ext cx="5524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75EA44DE" id="_x0000_t32" coordsize="21600,21600" o:spt="32" o:oned="t" path="m,l21600,21600e" filled="f">
              <v:path arrowok="t" fillok="f" o:connecttype="none"/>
              <o:lock v:ext="edit" shapetype="t"/>
            </v:shapetype>
            <v:shape id="Conector de seta reta 1" o:spid="_x0000_s1026" type="#_x0000_t32" style="position:absolute;margin-left:9pt;margin-top:0;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" filled="t" strokeweight="1pt">
              <v:stroke startarrowwidth="narrow" startarrowlength="short" endarrowwidth="narrow" endarrowlength="short"/>
            </v:shape>
          </w:pict>
        </mc:Fallback>
      </mc:AlternateContent>
    </w:r>
  </w:p>
  <w:p w:rsidR="00BF2152" w:rsidRDefault="00372D5E">
    <w:pPr>
      <w:pBdr>
        <w:top w:val="nil"/>
        <w:left w:val="nil"/>
        <w:bottom w:val="nil"/>
        <w:right w:val="nil"/>
        <w:between w:val="nil"/>
      </w:pBdr>
      <w:tabs>
        <w:tab w:val="center" w:pos="4252"/>
        <w:tab w:val="right" w:pos="8504"/>
      </w:tabs>
      <w:jc w:val="center"/>
      <w:rPr>
        <w:rFonts w:ascii="Calibri" w:eastAsia="Calibri" w:hAnsi="Calibri" w:cs="Calibri"/>
        <w:color w:val="000000"/>
        <w:sz w:val="18"/>
        <w:szCs w:val="18"/>
      </w:rPr>
    </w:pPr>
    <w:r>
      <w:rPr>
        <w:rFonts w:ascii="Calibri" w:eastAsia="Calibri" w:hAnsi="Calibri" w:cs="Calibri"/>
        <w:color w:val="000000"/>
        <w:sz w:val="18"/>
        <w:szCs w:val="18"/>
      </w:rPr>
      <w:t xml:space="preserve">Home Page: </w:t>
    </w:r>
    <w:hyperlink r:id="rId1">
      <w:r>
        <w:rPr>
          <w:rFonts w:ascii="Calibri" w:eastAsia="Calibri" w:hAnsi="Calibri" w:cs="Calibri"/>
          <w:color w:val="0000FF"/>
          <w:sz w:val="18"/>
          <w:szCs w:val="18"/>
          <w:u w:val="single"/>
        </w:rPr>
        <w:t>www.saojeronimo.rs.gov.br</w:t>
      </w:r>
    </w:hyperlink>
    <w:r>
      <w:rPr>
        <w:rFonts w:ascii="Calibri" w:eastAsia="Calibri" w:hAnsi="Calibri" w:cs="Calibri"/>
        <w:color w:val="000000"/>
        <w:sz w:val="18"/>
        <w:szCs w:val="18"/>
      </w:rPr>
      <w:t xml:space="preserve"> </w:t>
    </w:r>
  </w:p>
  <w:p w:rsidR="00BF2152" w:rsidRDefault="00372D5E">
    <w:pPr>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color w:val="000000"/>
        <w:sz w:val="18"/>
        <w:szCs w:val="18"/>
      </w:rPr>
      <w:t>CNPJ 88.117.700/0001-01 - Rua Cel. Soares de Carvalho, 558 - São Jerônimo - RS</w:t>
    </w:r>
  </w:p>
  <w:p w:rsidR="00BF2152" w:rsidRDefault="00BF215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310" w:rsidRDefault="005B3310">
      <w:r>
        <w:separator/>
      </w:r>
    </w:p>
  </w:footnote>
  <w:footnote w:type="continuationSeparator" w:id="0">
    <w:p w:rsidR="005B3310" w:rsidRDefault="005B3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52" w:rsidRDefault="00BF2152">
    <w:pPr>
      <w:pBdr>
        <w:top w:val="nil"/>
        <w:left w:val="nil"/>
        <w:bottom w:val="nil"/>
        <w:right w:val="nil"/>
        <w:between w:val="nil"/>
      </w:pBdr>
      <w:tabs>
        <w:tab w:val="center" w:pos="4252"/>
        <w:tab w:val="right" w:pos="8504"/>
      </w:tabs>
      <w:rPr>
        <w:color w:val="000000"/>
      </w:rPr>
    </w:pPr>
  </w:p>
  <w:tbl>
    <w:tblPr>
      <w:tblStyle w:val="a"/>
      <w:tblW w:w="8988" w:type="dxa"/>
      <w:tblInd w:w="0" w:type="dxa"/>
      <w:tblLayout w:type="fixed"/>
      <w:tblLook w:val="0000" w:firstRow="0" w:lastRow="0" w:firstColumn="0" w:lastColumn="0" w:noHBand="0" w:noVBand="0"/>
    </w:tblPr>
    <w:tblGrid>
      <w:gridCol w:w="993"/>
      <w:gridCol w:w="7995"/>
    </w:tblGrid>
    <w:tr w:rsidR="00BF2152">
      <w:trPr>
        <w:trHeight w:val="530"/>
      </w:trPr>
      <w:tc>
        <w:tcPr>
          <w:tcW w:w="993" w:type="dxa"/>
        </w:tcPr>
        <w:p w:rsidR="00BF2152" w:rsidRDefault="00372D5E">
          <w:pPr>
            <w:keepLines/>
            <w:pBdr>
              <w:top w:val="nil"/>
              <w:left w:val="nil"/>
              <w:bottom w:val="nil"/>
              <w:right w:val="nil"/>
              <w:between w:val="nil"/>
            </w:pBdr>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extent cx="642310" cy="782813"/>
                <wp:effectExtent l="0" t="0" r="0" b="0"/>
                <wp:docPr id="5" name="image1.jpg" descr="BRASÃO"/>
                <wp:cNvGraphicFramePr/>
                <a:graphic xmlns:a="http://schemas.openxmlformats.org/drawingml/2006/main">
                  <a:graphicData uri="http://schemas.openxmlformats.org/drawingml/2006/picture">
                    <pic:pic xmlns:pic="http://schemas.openxmlformats.org/drawingml/2006/picture">
                      <pic:nvPicPr>
                        <pic:cNvPr id="0" name="image1.jpg" descr="BRASÃO"/>
                        <pic:cNvPicPr preferRelativeResize="0"/>
                      </pic:nvPicPr>
                      <pic:blipFill>
                        <a:blip r:embed="rId1"/>
                        <a:srcRect/>
                        <a:stretch>
                          <a:fillRect/>
                        </a:stretch>
                      </pic:blipFill>
                      <pic:spPr>
                        <a:xfrm>
                          <a:off x="0" y="0"/>
                          <a:ext cx="642310" cy="782813"/>
                        </a:xfrm>
                        <a:prstGeom prst="rect">
                          <a:avLst/>
                        </a:prstGeom>
                        <a:ln/>
                      </pic:spPr>
                    </pic:pic>
                  </a:graphicData>
                </a:graphic>
              </wp:inline>
            </w:drawing>
          </w:r>
        </w:p>
      </w:tc>
      <w:tc>
        <w:tcPr>
          <w:tcW w:w="7995" w:type="dxa"/>
          <w:vAlign w:val="center"/>
        </w:tcPr>
        <w:p w:rsidR="00BF2152" w:rsidRDefault="00372D5E">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Estado do Rio Grande do Sul</w:t>
          </w:r>
        </w:p>
        <w:p w:rsidR="00BF2152" w:rsidRDefault="00372D5E">
          <w:pPr>
            <w:pBdr>
              <w:top w:val="nil"/>
              <w:left w:val="nil"/>
              <w:bottom w:val="nil"/>
              <w:right w:val="nil"/>
              <w:between w:val="nil"/>
            </w:pBdr>
            <w:jc w:val="both"/>
            <w:rPr>
              <w:rFonts w:ascii="Calibri" w:eastAsia="Calibri" w:hAnsi="Calibri" w:cs="Calibri"/>
              <w:b/>
              <w:color w:val="000000"/>
              <w:sz w:val="32"/>
              <w:szCs w:val="32"/>
            </w:rPr>
          </w:pPr>
          <w:r>
            <w:rPr>
              <w:rFonts w:ascii="Calibri" w:eastAsia="Calibri" w:hAnsi="Calibri" w:cs="Calibri"/>
              <w:b/>
              <w:color w:val="000000"/>
              <w:sz w:val="32"/>
              <w:szCs w:val="32"/>
            </w:rPr>
            <w:t>MUNICÍPIO DE SÃO JERÔNIMO</w:t>
          </w:r>
        </w:p>
        <w:p w:rsidR="00BF2152" w:rsidRDefault="00372D5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Secretaria de Infraestrutura e Administração</w:t>
          </w:r>
        </w:p>
      </w:tc>
    </w:tr>
  </w:tbl>
  <w:p w:rsidR="00BF2152" w:rsidRDefault="00F62300">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-3811</wp:posOffset>
              </wp:positionH>
              <wp:positionV relativeFrom="paragraph">
                <wp:posOffset>76835</wp:posOffset>
              </wp:positionV>
              <wp:extent cx="561022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61022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60AF8A" id="Conector re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6.05pt" to="441.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" strokecolor="black [3213]" strokeweight=".25pt">
              <v:shadow on="t" color="black" opacity="24903f" origin=",.5" offset="0,.55556mm"/>
            </v:line>
          </w:pict>
        </mc:Fallback>
      </mc:AlternateContent>
    </w:r>
    <w:r w:rsidR="00372D5E">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 name="Conector de seta reta 4"/>
              <wp:cNvGraphicFramePr/>
              <a:graphic xmlns:a="http://schemas.openxmlformats.org/drawingml/2006/main">
                <a:graphicData uri="http://schemas.microsoft.com/office/word/2010/wordprocessingShape">
                  <wps:wsp>
                    <wps:cNvCnPr/>
                    <wps:spPr>
                      <a:xfrm>
                        <a:off x="5346000" y="3798415"/>
                        <a:ext cx="5524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52"/>
    <w:rsid w:val="00262AA0"/>
    <w:rsid w:val="00372D5E"/>
    <w:rsid w:val="005B3310"/>
    <w:rsid w:val="00BF2152"/>
    <w:rsid w:val="00D13B03"/>
    <w:rsid w:val="00DA3B41"/>
    <w:rsid w:val="00F62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67BCC-55DA-4C80-9F7F-29881E62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center"/>
      <w:outlineLvl w:val="0"/>
    </w:pPr>
    <w:rPr>
      <w:sz w:val="24"/>
      <w:szCs w:val="24"/>
    </w:rPr>
  </w:style>
  <w:style w:type="paragraph" w:styleId="Ttulo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spacing w:before="120" w:after="60" w:line="360" w:lineRule="auto"/>
      <w:ind w:firstLine="567"/>
      <w:jc w:val="both"/>
    </w:pPr>
    <w:rPr>
      <w:rFonts w:ascii="Calibri" w:eastAsia="Calibri" w:hAnsi="Calibri" w:cs="Calibri"/>
      <w:b/>
      <w:sz w:val="24"/>
      <w:szCs w:val="24"/>
    </w:rPr>
  </w:style>
  <w:style w:type="table" w:customStyle="1" w:styleId="a">
    <w:basedOn w:val="TableNormal"/>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F62300"/>
    <w:pPr>
      <w:tabs>
        <w:tab w:val="center" w:pos="4252"/>
        <w:tab w:val="right" w:pos="8504"/>
      </w:tabs>
    </w:pPr>
  </w:style>
  <w:style w:type="character" w:customStyle="1" w:styleId="CabealhoChar">
    <w:name w:val="Cabeçalho Char"/>
    <w:basedOn w:val="Fontepargpadro"/>
    <w:link w:val="Cabealho"/>
    <w:uiPriority w:val="99"/>
    <w:rsid w:val="00F62300"/>
  </w:style>
  <w:style w:type="paragraph" w:styleId="Rodap">
    <w:name w:val="footer"/>
    <w:basedOn w:val="Normal"/>
    <w:link w:val="RodapChar"/>
    <w:uiPriority w:val="99"/>
    <w:unhideWhenUsed/>
    <w:rsid w:val="00F62300"/>
    <w:pPr>
      <w:tabs>
        <w:tab w:val="center" w:pos="4252"/>
        <w:tab w:val="right" w:pos="8504"/>
      </w:tabs>
    </w:pPr>
  </w:style>
  <w:style w:type="character" w:customStyle="1" w:styleId="RodapChar">
    <w:name w:val="Rodapé Char"/>
    <w:basedOn w:val="Fontepargpadro"/>
    <w:link w:val="Rodap"/>
    <w:uiPriority w:val="99"/>
    <w:rsid w:val="00F62300"/>
  </w:style>
  <w:style w:type="paragraph" w:styleId="Textodebalo">
    <w:name w:val="Balloon Text"/>
    <w:basedOn w:val="Normal"/>
    <w:link w:val="TextodebaloChar"/>
    <w:uiPriority w:val="99"/>
    <w:semiHidden/>
    <w:unhideWhenUsed/>
    <w:rsid w:val="00262AA0"/>
    <w:rPr>
      <w:rFonts w:ascii="Segoe UI" w:hAnsi="Segoe UI" w:cs="Segoe UI"/>
      <w:sz w:val="18"/>
      <w:szCs w:val="18"/>
    </w:rPr>
  </w:style>
  <w:style w:type="character" w:customStyle="1" w:styleId="TextodebaloChar">
    <w:name w:val="Texto de balão Char"/>
    <w:basedOn w:val="Fontepargpadro"/>
    <w:link w:val="Textodebalo"/>
    <w:uiPriority w:val="99"/>
    <w:semiHidden/>
    <w:rsid w:val="00262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4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10796</Words>
  <Characters>58302</Characters>
  <Application>Microsoft Office Word</Application>
  <DocSecurity>0</DocSecurity>
  <Lines>485</Lines>
  <Paragraphs>137</Paragraphs>
  <ScaleCrop>false</ScaleCrop>
  <Company/>
  <LinksUpToDate>false</LinksUpToDate>
  <CharactersWithSpaces>68961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Fábio - Infra</cp:lastModifiedBy>
  <cp:revision>4</cp:revision>
  <cp:lastPrinted>2020-12-01T17:08:00Z</cp:lastPrinted>
  <dcterms:created xsi:type="dcterms:W3CDTF">2020-12-01T16:56:00Z</dcterms:created>
  <dcterms:modified xsi:type="dcterms:W3CDTF">2020-12-01T17:10:00Z</dcterms:modified>
</cp:coreProperties>
</file>