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659E">
        <w:rPr>
          <w:rFonts w:asciiTheme="minorHAnsi" w:hAnsiTheme="minorHAnsi" w:cs="Arial"/>
          <w:b/>
          <w:sz w:val="24"/>
          <w:szCs w:val="24"/>
        </w:rPr>
        <w:t>4.18</w:t>
      </w:r>
      <w:r w:rsidR="008C6BB5">
        <w:rPr>
          <w:rFonts w:asciiTheme="minorHAnsi" w:hAnsiTheme="minorHAnsi" w:cs="Arial"/>
          <w:b/>
          <w:sz w:val="24"/>
          <w:szCs w:val="24"/>
        </w:rPr>
        <w:t>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ABRIL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8C6BB5" w:rsidRDefault="008C6BB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8C6BB5">
        <w:rPr>
          <w:rFonts w:asciiTheme="minorHAnsi" w:hAnsiTheme="minorHAnsi" w:cs="Arial"/>
          <w:caps/>
          <w:sz w:val="24"/>
          <w:szCs w:val="24"/>
        </w:rPr>
        <w:t>Concede Revisão Geral Anual aos Servidores do Poder Legislativo Municipal, nos termos do inciso X, do art. 37, da Constituição Federal a e dá outras providências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8C6BB5" w:rsidRPr="00367983" w:rsidRDefault="008C6BB5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2A6F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32A6F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C6BB5" w:rsidRPr="008C6BB5" w:rsidRDefault="00E01026" w:rsidP="008C6BB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132A6F">
        <w:rPr>
          <w:rFonts w:asciiTheme="minorHAnsi" w:hAnsiTheme="minorHAnsi" w:cs="Arial"/>
          <w:sz w:val="24"/>
          <w:szCs w:val="24"/>
        </w:rPr>
        <w:t>1</w:t>
      </w:r>
      <w:r w:rsidRPr="00D904D7">
        <w:rPr>
          <w:rFonts w:asciiTheme="minorHAnsi" w:hAnsiTheme="minorHAnsi" w:cs="Arial"/>
          <w:sz w:val="24"/>
          <w:szCs w:val="24"/>
        </w:rPr>
        <w:t xml:space="preserve">º </w:t>
      </w:r>
      <w:r w:rsidR="008C6BB5" w:rsidRPr="008C6BB5">
        <w:rPr>
          <w:rFonts w:asciiTheme="minorHAnsi" w:hAnsiTheme="minorHAnsi" w:cs="Arial"/>
          <w:sz w:val="24"/>
          <w:szCs w:val="24"/>
        </w:rPr>
        <w:t>É concedido reajuste de 5,60%, referente ao índice geral de inflação (IPCA) acumulado entre março de 2022 a fevereiro de 2023, a título de Revisão Geral Anual nos termos do Inciso X do Art. 37 da Constituição Federal, aos servidores de cargos de provimento efetivo, cargos em comissão e celetistas do Poder Legislativo Municipal.</w:t>
      </w:r>
    </w:p>
    <w:p w:rsidR="008C6BB5" w:rsidRPr="008C6BB5" w:rsidRDefault="008C6BB5" w:rsidP="008C6BB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6BB5" w:rsidRPr="008C6BB5" w:rsidRDefault="008C6BB5" w:rsidP="008C6BB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C6BB5">
        <w:rPr>
          <w:rFonts w:asciiTheme="minorHAnsi" w:hAnsiTheme="minorHAnsi" w:cs="Arial"/>
          <w:sz w:val="24"/>
          <w:szCs w:val="24"/>
        </w:rPr>
        <w:t>Art. 2º</w:t>
      </w:r>
      <w:r w:rsidRPr="008C6BB5">
        <w:rPr>
          <w:rFonts w:asciiTheme="minorHAnsi" w:hAnsiTheme="minorHAnsi" w:cs="Arial"/>
          <w:sz w:val="24"/>
          <w:szCs w:val="24"/>
        </w:rPr>
        <w:tab/>
        <w:t>O art. 24 da Lei Municipal nº 4025/2022, que dispõe sobre o Quadro de Cargos e Funções Públicas da Câmara Municipal de Vereadores de São Jerônimo, passa a ter a seguinte redação:</w:t>
      </w:r>
    </w:p>
    <w:p w:rsidR="008C6BB5" w:rsidRPr="008C6BB5" w:rsidRDefault="008C6BB5" w:rsidP="008C6BB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C6BB5" w:rsidRPr="008C6BB5" w:rsidRDefault="008C6BB5" w:rsidP="008C6BB5">
      <w:pPr>
        <w:spacing w:line="360" w:lineRule="auto"/>
        <w:ind w:left="1418" w:firstLine="708"/>
        <w:jc w:val="both"/>
        <w:rPr>
          <w:rFonts w:asciiTheme="minorHAnsi" w:hAnsiTheme="minorHAnsi" w:cs="Arial"/>
          <w:i/>
          <w:sz w:val="24"/>
          <w:szCs w:val="24"/>
        </w:rPr>
      </w:pPr>
      <w:r w:rsidRPr="008C6BB5">
        <w:rPr>
          <w:rFonts w:asciiTheme="minorHAnsi" w:hAnsiTheme="minorHAnsi" w:cs="Arial"/>
          <w:i/>
          <w:sz w:val="24"/>
          <w:szCs w:val="24"/>
        </w:rPr>
        <w:t>Art. 24º - São criadas as tabelas de pagamento dos vencimentos dos cargos de Provimento Efetivo e Cargos de Provimento em Comissão da Câmara Municipal de Vereadores:</w:t>
      </w:r>
    </w:p>
    <w:p w:rsidR="008C6BB5" w:rsidRPr="008C6BB5" w:rsidRDefault="008C6BB5" w:rsidP="008C6BB5">
      <w:pPr>
        <w:spacing w:line="360" w:lineRule="auto"/>
        <w:ind w:left="1418" w:firstLine="708"/>
        <w:jc w:val="both"/>
        <w:rPr>
          <w:rFonts w:asciiTheme="minorHAnsi" w:hAnsiTheme="minorHAnsi" w:cs="Arial"/>
          <w:i/>
          <w:sz w:val="24"/>
          <w:szCs w:val="24"/>
        </w:rPr>
      </w:pPr>
    </w:p>
    <w:p w:rsidR="005F41BF" w:rsidRDefault="008C6BB5" w:rsidP="008C6BB5">
      <w:pPr>
        <w:spacing w:line="360" w:lineRule="auto"/>
        <w:ind w:left="1418"/>
        <w:jc w:val="both"/>
        <w:rPr>
          <w:rFonts w:asciiTheme="minorHAnsi" w:hAnsiTheme="minorHAnsi" w:cs="Arial"/>
          <w:i/>
          <w:sz w:val="24"/>
          <w:szCs w:val="24"/>
        </w:rPr>
      </w:pPr>
      <w:r w:rsidRPr="008C6BB5">
        <w:rPr>
          <w:rFonts w:asciiTheme="minorHAnsi" w:hAnsiTheme="minorHAnsi" w:cs="Arial"/>
          <w:i/>
          <w:sz w:val="24"/>
          <w:szCs w:val="24"/>
        </w:rPr>
        <w:t>I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8C6BB5">
        <w:rPr>
          <w:rFonts w:asciiTheme="minorHAnsi" w:hAnsiTheme="minorHAnsi" w:cs="Arial"/>
          <w:i/>
          <w:sz w:val="24"/>
          <w:szCs w:val="24"/>
        </w:rPr>
        <w:t>– CARGOS DE PROVIMENTO EFETIVO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4"/>
        <w:gridCol w:w="1004"/>
        <w:gridCol w:w="1035"/>
        <w:gridCol w:w="1040"/>
        <w:gridCol w:w="1037"/>
        <w:gridCol w:w="1038"/>
        <w:gridCol w:w="1037"/>
        <w:gridCol w:w="1037"/>
      </w:tblGrid>
      <w:tr w:rsidR="008C6BB5" w:rsidRPr="008C6BB5" w:rsidTr="00EE748D">
        <w:trPr>
          <w:trHeight w:val="268"/>
        </w:trPr>
        <w:tc>
          <w:tcPr>
            <w:tcW w:w="989" w:type="dxa"/>
          </w:tcPr>
          <w:p w:rsidR="008C6BB5" w:rsidRPr="008C6BB5" w:rsidRDefault="008C6BB5" w:rsidP="00EE748D">
            <w:pPr>
              <w:pStyle w:val="TableParagraph"/>
              <w:spacing w:before="1" w:line="240" w:lineRule="auto"/>
              <w:ind w:left="87" w:right="128"/>
              <w:rPr>
                <w:b/>
                <w:i/>
                <w:sz w:val="20"/>
              </w:rPr>
            </w:pPr>
            <w:r w:rsidRPr="008C6BB5">
              <w:rPr>
                <w:b/>
                <w:i/>
                <w:sz w:val="20"/>
              </w:rPr>
              <w:t>PADRÃO</w:t>
            </w:r>
          </w:p>
        </w:tc>
        <w:tc>
          <w:tcPr>
            <w:tcW w:w="1134" w:type="dxa"/>
          </w:tcPr>
          <w:p w:rsidR="008C6BB5" w:rsidRPr="008C6BB5" w:rsidRDefault="008C6BB5" w:rsidP="00EE748D">
            <w:pPr>
              <w:pStyle w:val="TableParagraph"/>
              <w:ind w:left="2"/>
              <w:rPr>
                <w:b/>
                <w:i/>
              </w:rPr>
            </w:pPr>
            <w:r w:rsidRPr="008C6BB5">
              <w:rPr>
                <w:b/>
                <w:i/>
              </w:rPr>
              <w:t>A</w:t>
            </w:r>
          </w:p>
        </w:tc>
        <w:tc>
          <w:tcPr>
            <w:tcW w:w="1004" w:type="dxa"/>
          </w:tcPr>
          <w:p w:rsidR="008C6BB5" w:rsidRPr="008C6BB5" w:rsidRDefault="008C6BB5" w:rsidP="00EE748D">
            <w:pPr>
              <w:pStyle w:val="TableParagraph"/>
              <w:ind w:left="6"/>
              <w:rPr>
                <w:b/>
                <w:i/>
              </w:rPr>
            </w:pPr>
            <w:r w:rsidRPr="008C6BB5">
              <w:rPr>
                <w:b/>
                <w:i/>
              </w:rPr>
              <w:t>B</w:t>
            </w:r>
          </w:p>
        </w:tc>
        <w:tc>
          <w:tcPr>
            <w:tcW w:w="1035" w:type="dxa"/>
          </w:tcPr>
          <w:p w:rsidR="008C6BB5" w:rsidRPr="008C6BB5" w:rsidRDefault="008C6BB5" w:rsidP="00EE748D">
            <w:pPr>
              <w:pStyle w:val="TableParagraph"/>
              <w:rPr>
                <w:b/>
                <w:i/>
              </w:rPr>
            </w:pPr>
            <w:r w:rsidRPr="008C6BB5">
              <w:rPr>
                <w:b/>
                <w:i/>
              </w:rPr>
              <w:t>C</w:t>
            </w:r>
          </w:p>
        </w:tc>
        <w:tc>
          <w:tcPr>
            <w:tcW w:w="1040" w:type="dxa"/>
          </w:tcPr>
          <w:p w:rsidR="008C6BB5" w:rsidRPr="008C6BB5" w:rsidRDefault="008C6BB5" w:rsidP="00EE748D">
            <w:pPr>
              <w:pStyle w:val="TableParagraph"/>
              <w:ind w:left="2"/>
              <w:rPr>
                <w:b/>
                <w:i/>
              </w:rPr>
            </w:pPr>
            <w:r w:rsidRPr="008C6BB5">
              <w:rPr>
                <w:b/>
                <w:i/>
              </w:rPr>
              <w:t>D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right="1"/>
              <w:rPr>
                <w:b/>
                <w:i/>
              </w:rPr>
            </w:pPr>
            <w:r w:rsidRPr="008C6BB5">
              <w:rPr>
                <w:b/>
                <w:i/>
              </w:rPr>
              <w:t>E</w:t>
            </w:r>
          </w:p>
        </w:tc>
        <w:tc>
          <w:tcPr>
            <w:tcW w:w="1038" w:type="dxa"/>
          </w:tcPr>
          <w:p w:rsidR="008C6BB5" w:rsidRPr="008C6BB5" w:rsidRDefault="008C6BB5" w:rsidP="00EE748D">
            <w:pPr>
              <w:pStyle w:val="TableParagraph"/>
              <w:ind w:right="1"/>
              <w:rPr>
                <w:b/>
                <w:i/>
              </w:rPr>
            </w:pPr>
            <w:r w:rsidRPr="008C6BB5">
              <w:rPr>
                <w:b/>
                <w:i/>
              </w:rPr>
              <w:t>F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rPr>
                <w:b/>
                <w:i/>
              </w:rPr>
            </w:pPr>
            <w:r w:rsidRPr="008C6BB5">
              <w:rPr>
                <w:b/>
                <w:i/>
              </w:rPr>
              <w:t>G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rPr>
                <w:b/>
                <w:i/>
              </w:rPr>
            </w:pPr>
            <w:r w:rsidRPr="008C6BB5">
              <w:rPr>
                <w:b/>
                <w:i/>
              </w:rPr>
              <w:t>H</w:t>
            </w:r>
          </w:p>
        </w:tc>
      </w:tr>
      <w:tr w:rsidR="008C6BB5" w:rsidRPr="008C6BB5" w:rsidTr="00EE748D">
        <w:trPr>
          <w:trHeight w:val="268"/>
        </w:trPr>
        <w:tc>
          <w:tcPr>
            <w:tcW w:w="989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134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04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35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40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38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spacing w:line="240" w:lineRule="auto"/>
              <w:jc w:val="left"/>
              <w:rPr>
                <w:rFonts w:ascii="Times New Roman"/>
                <w:i/>
                <w:sz w:val="18"/>
              </w:rPr>
            </w:pPr>
          </w:p>
        </w:tc>
      </w:tr>
      <w:tr w:rsidR="008C6BB5" w:rsidRPr="008C6BB5" w:rsidTr="00EE748D">
        <w:trPr>
          <w:trHeight w:val="268"/>
        </w:trPr>
        <w:tc>
          <w:tcPr>
            <w:tcW w:w="989" w:type="dxa"/>
          </w:tcPr>
          <w:p w:rsidR="008C6BB5" w:rsidRPr="008C6BB5" w:rsidRDefault="008C6BB5" w:rsidP="00EE748D">
            <w:pPr>
              <w:pStyle w:val="TableParagraph"/>
              <w:ind w:left="87" w:right="78"/>
              <w:rPr>
                <w:i/>
              </w:rPr>
            </w:pPr>
            <w:r w:rsidRPr="008C6BB5">
              <w:rPr>
                <w:i/>
              </w:rPr>
              <w:t>01</w:t>
            </w:r>
          </w:p>
        </w:tc>
        <w:tc>
          <w:tcPr>
            <w:tcW w:w="1134" w:type="dxa"/>
          </w:tcPr>
          <w:p w:rsidR="008C6BB5" w:rsidRPr="008C6BB5" w:rsidRDefault="008C6BB5" w:rsidP="00EE748D">
            <w:pPr>
              <w:pStyle w:val="TableParagraph"/>
              <w:ind w:right="99"/>
              <w:jc w:val="right"/>
              <w:rPr>
                <w:i/>
              </w:rPr>
            </w:pPr>
            <w:r w:rsidRPr="008C6BB5">
              <w:rPr>
                <w:i/>
              </w:rPr>
              <w:t>2.432,76</w:t>
            </w:r>
          </w:p>
        </w:tc>
        <w:tc>
          <w:tcPr>
            <w:tcW w:w="1004" w:type="dxa"/>
          </w:tcPr>
          <w:p w:rsidR="008C6BB5" w:rsidRPr="008C6BB5" w:rsidRDefault="008C6BB5" w:rsidP="00EE748D">
            <w:pPr>
              <w:pStyle w:val="TableParagraph"/>
              <w:ind w:left="94" w:right="79"/>
              <w:rPr>
                <w:i/>
              </w:rPr>
            </w:pPr>
            <w:r w:rsidRPr="008C6BB5">
              <w:rPr>
                <w:i/>
              </w:rPr>
              <w:t>2.676,02</w:t>
            </w:r>
          </w:p>
        </w:tc>
        <w:tc>
          <w:tcPr>
            <w:tcW w:w="1035" w:type="dxa"/>
          </w:tcPr>
          <w:p w:rsidR="008C6BB5" w:rsidRPr="008C6BB5" w:rsidRDefault="008C6BB5" w:rsidP="00EE748D">
            <w:pPr>
              <w:pStyle w:val="TableParagraph"/>
              <w:ind w:left="124" w:right="80"/>
              <w:rPr>
                <w:i/>
              </w:rPr>
            </w:pPr>
            <w:r w:rsidRPr="008C6BB5">
              <w:rPr>
                <w:i/>
              </w:rPr>
              <w:t>2.943,64</w:t>
            </w:r>
          </w:p>
        </w:tc>
        <w:tc>
          <w:tcPr>
            <w:tcW w:w="1040" w:type="dxa"/>
          </w:tcPr>
          <w:p w:rsidR="008C6BB5" w:rsidRPr="008C6BB5" w:rsidRDefault="008C6BB5" w:rsidP="00EE748D">
            <w:pPr>
              <w:pStyle w:val="TableParagraph"/>
              <w:ind w:left="126" w:right="83"/>
              <w:rPr>
                <w:i/>
              </w:rPr>
            </w:pPr>
            <w:r w:rsidRPr="008C6BB5">
              <w:rPr>
                <w:i/>
              </w:rPr>
              <w:t>3.265,61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2" w:right="82"/>
              <w:rPr>
                <w:i/>
              </w:rPr>
            </w:pPr>
            <w:r w:rsidRPr="008C6BB5">
              <w:rPr>
                <w:i/>
              </w:rPr>
              <w:t>3.561,81</w:t>
            </w:r>
          </w:p>
        </w:tc>
        <w:tc>
          <w:tcPr>
            <w:tcW w:w="1038" w:type="dxa"/>
          </w:tcPr>
          <w:p w:rsidR="008C6BB5" w:rsidRPr="008C6BB5" w:rsidRDefault="008C6BB5" w:rsidP="00EE748D">
            <w:pPr>
              <w:pStyle w:val="TableParagraph"/>
              <w:ind w:left="123" w:right="84"/>
              <w:rPr>
                <w:i/>
              </w:rPr>
            </w:pPr>
            <w:r w:rsidRPr="008C6BB5">
              <w:rPr>
                <w:i/>
              </w:rPr>
              <w:t>3.917,94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2" w:right="83"/>
              <w:rPr>
                <w:i/>
              </w:rPr>
            </w:pPr>
            <w:r w:rsidRPr="008C6BB5">
              <w:rPr>
                <w:i/>
              </w:rPr>
              <w:t>4.309,74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1" w:right="83"/>
              <w:rPr>
                <w:i/>
              </w:rPr>
            </w:pPr>
            <w:r w:rsidRPr="008C6BB5">
              <w:rPr>
                <w:i/>
              </w:rPr>
              <w:t>4.740,75</w:t>
            </w:r>
          </w:p>
        </w:tc>
      </w:tr>
      <w:tr w:rsidR="008C6BB5" w:rsidRPr="008C6BB5" w:rsidTr="00EE748D">
        <w:trPr>
          <w:trHeight w:val="268"/>
        </w:trPr>
        <w:tc>
          <w:tcPr>
            <w:tcW w:w="989" w:type="dxa"/>
          </w:tcPr>
          <w:p w:rsidR="008C6BB5" w:rsidRPr="008C6BB5" w:rsidRDefault="008C6BB5" w:rsidP="00EE748D">
            <w:pPr>
              <w:pStyle w:val="TableParagraph"/>
              <w:ind w:left="87" w:right="78"/>
              <w:rPr>
                <w:i/>
              </w:rPr>
            </w:pPr>
            <w:r w:rsidRPr="008C6BB5">
              <w:rPr>
                <w:i/>
              </w:rPr>
              <w:t>02</w:t>
            </w:r>
          </w:p>
        </w:tc>
        <w:tc>
          <w:tcPr>
            <w:tcW w:w="1134" w:type="dxa"/>
          </w:tcPr>
          <w:p w:rsidR="008C6BB5" w:rsidRPr="008C6BB5" w:rsidRDefault="008C6BB5" w:rsidP="00EE748D">
            <w:pPr>
              <w:pStyle w:val="TableParagraph"/>
              <w:ind w:right="99"/>
              <w:jc w:val="right"/>
              <w:rPr>
                <w:i/>
              </w:rPr>
            </w:pPr>
            <w:r w:rsidRPr="008C6BB5">
              <w:rPr>
                <w:i/>
              </w:rPr>
              <w:t>2.992,30</w:t>
            </w:r>
          </w:p>
        </w:tc>
        <w:tc>
          <w:tcPr>
            <w:tcW w:w="1004" w:type="dxa"/>
          </w:tcPr>
          <w:p w:rsidR="008C6BB5" w:rsidRPr="008C6BB5" w:rsidRDefault="008C6BB5" w:rsidP="00EE748D">
            <w:pPr>
              <w:pStyle w:val="TableParagraph"/>
              <w:ind w:left="93" w:right="79"/>
              <w:rPr>
                <w:i/>
              </w:rPr>
            </w:pPr>
            <w:r w:rsidRPr="008C6BB5">
              <w:rPr>
                <w:i/>
              </w:rPr>
              <w:t>3.291,51</w:t>
            </w:r>
          </w:p>
        </w:tc>
        <w:tc>
          <w:tcPr>
            <w:tcW w:w="1035" w:type="dxa"/>
          </w:tcPr>
          <w:p w:rsidR="008C6BB5" w:rsidRPr="008C6BB5" w:rsidRDefault="008C6BB5" w:rsidP="00EE748D">
            <w:pPr>
              <w:pStyle w:val="TableParagraph"/>
              <w:ind w:left="124" w:right="80"/>
              <w:rPr>
                <w:i/>
              </w:rPr>
            </w:pPr>
            <w:r w:rsidRPr="008C6BB5">
              <w:rPr>
                <w:i/>
              </w:rPr>
              <w:t>3.620,61</w:t>
            </w:r>
          </w:p>
        </w:tc>
        <w:tc>
          <w:tcPr>
            <w:tcW w:w="1040" w:type="dxa"/>
          </w:tcPr>
          <w:p w:rsidR="008C6BB5" w:rsidRPr="008C6BB5" w:rsidRDefault="008C6BB5" w:rsidP="00EE748D">
            <w:pPr>
              <w:pStyle w:val="TableParagraph"/>
              <w:ind w:left="126" w:right="83"/>
              <w:rPr>
                <w:i/>
              </w:rPr>
            </w:pPr>
            <w:r w:rsidRPr="008C6BB5">
              <w:rPr>
                <w:i/>
              </w:rPr>
              <w:t>3.982,75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2" w:right="82"/>
              <w:rPr>
                <w:i/>
              </w:rPr>
            </w:pPr>
            <w:r w:rsidRPr="008C6BB5">
              <w:rPr>
                <w:i/>
              </w:rPr>
              <w:t>4.381,01</w:t>
            </w:r>
          </w:p>
        </w:tc>
        <w:tc>
          <w:tcPr>
            <w:tcW w:w="1038" w:type="dxa"/>
          </w:tcPr>
          <w:p w:rsidR="008C6BB5" w:rsidRPr="008C6BB5" w:rsidRDefault="008C6BB5" w:rsidP="00EE748D">
            <w:pPr>
              <w:pStyle w:val="TableParagraph"/>
              <w:ind w:left="123" w:right="84"/>
              <w:rPr>
                <w:i/>
              </w:rPr>
            </w:pPr>
            <w:r w:rsidRPr="008C6BB5">
              <w:rPr>
                <w:i/>
              </w:rPr>
              <w:t>4.819,09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2" w:right="83"/>
              <w:rPr>
                <w:i/>
              </w:rPr>
            </w:pPr>
            <w:r w:rsidRPr="008C6BB5">
              <w:rPr>
                <w:i/>
              </w:rPr>
              <w:t>5.301,00</w:t>
            </w:r>
          </w:p>
        </w:tc>
        <w:tc>
          <w:tcPr>
            <w:tcW w:w="1037" w:type="dxa"/>
          </w:tcPr>
          <w:p w:rsidR="008C6BB5" w:rsidRPr="008C6BB5" w:rsidRDefault="008C6BB5" w:rsidP="00EE748D">
            <w:pPr>
              <w:pStyle w:val="TableParagraph"/>
              <w:ind w:left="121" w:right="83"/>
              <w:rPr>
                <w:i/>
              </w:rPr>
            </w:pPr>
            <w:r w:rsidRPr="008C6BB5">
              <w:rPr>
                <w:i/>
              </w:rPr>
              <w:t>5.831,10</w:t>
            </w:r>
          </w:p>
        </w:tc>
      </w:tr>
    </w:tbl>
    <w:p w:rsidR="008C6BB5" w:rsidRDefault="008C6BB5" w:rsidP="008C6BB5">
      <w:pPr>
        <w:widowControl w:val="0"/>
        <w:tabs>
          <w:tab w:val="left" w:pos="2539"/>
        </w:tabs>
        <w:autoSpaceDE w:val="0"/>
        <w:autoSpaceDN w:val="0"/>
        <w:spacing w:before="56"/>
        <w:ind w:left="2370"/>
        <w:rPr>
          <w:rFonts w:asciiTheme="minorHAnsi" w:hAnsiTheme="minorHAnsi" w:cstheme="minorHAnsi"/>
          <w:b/>
          <w:i/>
          <w:sz w:val="22"/>
        </w:rPr>
      </w:pPr>
    </w:p>
    <w:p w:rsidR="008C6BB5" w:rsidRPr="008C6BB5" w:rsidRDefault="008C6BB5" w:rsidP="008C6BB5">
      <w:pPr>
        <w:widowControl w:val="0"/>
        <w:tabs>
          <w:tab w:val="left" w:pos="2539"/>
        </w:tabs>
        <w:autoSpaceDE w:val="0"/>
        <w:autoSpaceDN w:val="0"/>
        <w:spacing w:before="5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2"/>
        </w:rPr>
        <w:t xml:space="preserve">                          </w:t>
      </w:r>
      <w:r w:rsidRPr="008C6BB5">
        <w:rPr>
          <w:rFonts w:asciiTheme="minorHAnsi" w:hAnsiTheme="minorHAnsi" w:cstheme="minorHAnsi"/>
          <w:i/>
          <w:sz w:val="22"/>
        </w:rPr>
        <w:t xml:space="preserve">II </w:t>
      </w:r>
      <w:r w:rsidRPr="008C6BB5">
        <w:rPr>
          <w:rFonts w:asciiTheme="minorHAnsi" w:hAnsiTheme="minorHAnsi" w:cstheme="minorHAnsi"/>
          <w:i/>
          <w:sz w:val="22"/>
        </w:rPr>
        <w:t>–</w:t>
      </w:r>
      <w:r w:rsidRPr="008C6BB5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8C6BB5">
        <w:rPr>
          <w:rFonts w:asciiTheme="minorHAnsi" w:hAnsiTheme="minorHAnsi" w:cstheme="minorHAnsi"/>
          <w:i/>
          <w:sz w:val="22"/>
        </w:rPr>
        <w:t>CARGOS</w:t>
      </w:r>
      <w:r w:rsidRPr="008C6BB5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8C6BB5">
        <w:rPr>
          <w:rFonts w:asciiTheme="minorHAnsi" w:hAnsiTheme="minorHAnsi" w:cstheme="minorHAnsi"/>
          <w:i/>
          <w:sz w:val="22"/>
        </w:rPr>
        <w:t>DE</w:t>
      </w:r>
      <w:r w:rsidRPr="008C6BB5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8C6BB5">
        <w:rPr>
          <w:rFonts w:asciiTheme="minorHAnsi" w:hAnsiTheme="minorHAnsi" w:cstheme="minorHAnsi"/>
          <w:i/>
          <w:sz w:val="22"/>
        </w:rPr>
        <w:t>PROVIMENTO</w:t>
      </w:r>
      <w:r w:rsidRPr="008C6BB5">
        <w:rPr>
          <w:rFonts w:asciiTheme="minorHAnsi" w:hAnsiTheme="minorHAnsi" w:cstheme="minorHAnsi"/>
          <w:i/>
          <w:spacing w:val="-4"/>
          <w:sz w:val="22"/>
        </w:rPr>
        <w:t xml:space="preserve"> </w:t>
      </w:r>
      <w:r w:rsidRPr="008C6BB5">
        <w:rPr>
          <w:rFonts w:asciiTheme="minorHAnsi" w:hAnsiTheme="minorHAnsi" w:cstheme="minorHAnsi"/>
          <w:i/>
          <w:sz w:val="22"/>
        </w:rPr>
        <w:t>EM</w:t>
      </w:r>
      <w:r w:rsidRPr="008C6BB5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8C6BB5">
        <w:rPr>
          <w:rFonts w:asciiTheme="minorHAnsi" w:hAnsiTheme="minorHAnsi" w:cstheme="minorHAnsi"/>
          <w:i/>
          <w:sz w:val="22"/>
        </w:rPr>
        <w:t>COMISSÃO</w:t>
      </w:r>
    </w:p>
    <w:p w:rsidR="008C6BB5" w:rsidRPr="008C6BB5" w:rsidRDefault="008C6BB5" w:rsidP="008C6BB5">
      <w:pPr>
        <w:pStyle w:val="Corpodetexto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157"/>
        <w:gridCol w:w="1459"/>
        <w:gridCol w:w="3176"/>
      </w:tblGrid>
      <w:tr w:rsidR="008C6BB5" w:rsidRPr="008C6BB5" w:rsidTr="00EE748D">
        <w:trPr>
          <w:trHeight w:val="292"/>
        </w:trPr>
        <w:tc>
          <w:tcPr>
            <w:tcW w:w="1555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left="567" w:right="561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CC1</w:t>
            </w:r>
          </w:p>
        </w:tc>
        <w:tc>
          <w:tcPr>
            <w:tcW w:w="3157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97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1.986,75</w:t>
            </w:r>
          </w:p>
        </w:tc>
        <w:tc>
          <w:tcPr>
            <w:tcW w:w="1459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524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FG1</w:t>
            </w:r>
          </w:p>
        </w:tc>
        <w:tc>
          <w:tcPr>
            <w:tcW w:w="3176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94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993,37</w:t>
            </w:r>
          </w:p>
        </w:tc>
      </w:tr>
      <w:tr w:rsidR="008C6BB5" w:rsidRPr="008C6BB5" w:rsidTr="00EE748D">
        <w:trPr>
          <w:trHeight w:val="292"/>
        </w:trPr>
        <w:tc>
          <w:tcPr>
            <w:tcW w:w="1555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left="567" w:right="561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CC2</w:t>
            </w:r>
          </w:p>
        </w:tc>
        <w:tc>
          <w:tcPr>
            <w:tcW w:w="3157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95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2.557,56</w:t>
            </w:r>
          </w:p>
        </w:tc>
        <w:tc>
          <w:tcPr>
            <w:tcW w:w="1459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524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FG2</w:t>
            </w:r>
          </w:p>
        </w:tc>
        <w:tc>
          <w:tcPr>
            <w:tcW w:w="3176" w:type="dxa"/>
          </w:tcPr>
          <w:p w:rsidR="008C6BB5" w:rsidRPr="008C6BB5" w:rsidRDefault="008C6BB5" w:rsidP="00EE748D">
            <w:pPr>
              <w:pStyle w:val="TableParagraph"/>
              <w:spacing w:line="272" w:lineRule="exact"/>
              <w:ind w:right="94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1.278,78</w:t>
            </w:r>
          </w:p>
        </w:tc>
      </w:tr>
      <w:tr w:rsidR="008C6BB5" w:rsidRPr="008C6BB5" w:rsidTr="00EE748D">
        <w:trPr>
          <w:trHeight w:val="293"/>
        </w:trPr>
        <w:tc>
          <w:tcPr>
            <w:tcW w:w="1555" w:type="dxa"/>
          </w:tcPr>
          <w:p w:rsidR="008C6BB5" w:rsidRPr="008C6BB5" w:rsidRDefault="008C6BB5" w:rsidP="00EE748D">
            <w:pPr>
              <w:pStyle w:val="TableParagraph"/>
              <w:spacing w:line="273" w:lineRule="exact"/>
              <w:ind w:left="567" w:right="561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lastRenderedPageBreak/>
              <w:t>CC3</w:t>
            </w:r>
          </w:p>
        </w:tc>
        <w:tc>
          <w:tcPr>
            <w:tcW w:w="3157" w:type="dxa"/>
          </w:tcPr>
          <w:p w:rsidR="008C6BB5" w:rsidRPr="008C6BB5" w:rsidRDefault="008C6BB5" w:rsidP="00EE748D">
            <w:pPr>
              <w:pStyle w:val="TableParagraph"/>
              <w:spacing w:line="273" w:lineRule="exact"/>
              <w:ind w:right="95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2.764,51</w:t>
            </w:r>
          </w:p>
        </w:tc>
        <w:tc>
          <w:tcPr>
            <w:tcW w:w="1459" w:type="dxa"/>
          </w:tcPr>
          <w:p w:rsidR="008C6BB5" w:rsidRPr="008C6BB5" w:rsidRDefault="008C6BB5" w:rsidP="00EE748D">
            <w:pPr>
              <w:pStyle w:val="TableParagraph"/>
              <w:spacing w:line="273" w:lineRule="exact"/>
              <w:ind w:right="524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FG3</w:t>
            </w:r>
          </w:p>
        </w:tc>
        <w:tc>
          <w:tcPr>
            <w:tcW w:w="3176" w:type="dxa"/>
          </w:tcPr>
          <w:p w:rsidR="008C6BB5" w:rsidRPr="008C6BB5" w:rsidRDefault="008C6BB5" w:rsidP="00EE748D">
            <w:pPr>
              <w:pStyle w:val="TableParagraph"/>
              <w:spacing w:line="273" w:lineRule="exact"/>
              <w:ind w:right="94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1.382,26</w:t>
            </w:r>
          </w:p>
        </w:tc>
      </w:tr>
      <w:tr w:rsidR="008C6BB5" w:rsidRPr="008C6BB5" w:rsidTr="00EE748D">
        <w:trPr>
          <w:trHeight w:val="294"/>
        </w:trPr>
        <w:tc>
          <w:tcPr>
            <w:tcW w:w="1555" w:type="dxa"/>
          </w:tcPr>
          <w:p w:rsidR="008C6BB5" w:rsidRPr="008C6BB5" w:rsidRDefault="008C6BB5" w:rsidP="00EE748D">
            <w:pPr>
              <w:pStyle w:val="TableParagraph"/>
              <w:spacing w:before="1" w:line="273" w:lineRule="exact"/>
              <w:ind w:left="567" w:right="561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CC4</w:t>
            </w:r>
          </w:p>
        </w:tc>
        <w:tc>
          <w:tcPr>
            <w:tcW w:w="3157" w:type="dxa"/>
          </w:tcPr>
          <w:p w:rsidR="008C6BB5" w:rsidRPr="008C6BB5" w:rsidRDefault="008C6BB5" w:rsidP="00EE748D">
            <w:pPr>
              <w:pStyle w:val="TableParagraph"/>
              <w:spacing w:before="1" w:line="273" w:lineRule="exact"/>
              <w:ind w:right="94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5.859,86</w:t>
            </w:r>
          </w:p>
        </w:tc>
        <w:tc>
          <w:tcPr>
            <w:tcW w:w="1459" w:type="dxa"/>
          </w:tcPr>
          <w:p w:rsidR="008C6BB5" w:rsidRPr="008C6BB5" w:rsidRDefault="008C6BB5" w:rsidP="00EE748D">
            <w:pPr>
              <w:pStyle w:val="TableParagraph"/>
              <w:spacing w:before="1" w:line="273" w:lineRule="exact"/>
              <w:ind w:right="524"/>
              <w:jc w:val="right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b/>
                <w:i/>
                <w:sz w:val="24"/>
              </w:rPr>
              <w:t>FG4</w:t>
            </w:r>
          </w:p>
        </w:tc>
        <w:tc>
          <w:tcPr>
            <w:tcW w:w="3176" w:type="dxa"/>
          </w:tcPr>
          <w:p w:rsidR="008C6BB5" w:rsidRPr="008C6BB5" w:rsidRDefault="008C6BB5" w:rsidP="00EE748D">
            <w:pPr>
              <w:pStyle w:val="TableParagraph"/>
              <w:spacing w:before="1" w:line="273" w:lineRule="exact"/>
              <w:ind w:right="94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8C6BB5">
              <w:rPr>
                <w:rFonts w:asciiTheme="minorHAnsi" w:hAnsiTheme="minorHAnsi" w:cstheme="minorHAnsi"/>
                <w:i/>
                <w:sz w:val="24"/>
              </w:rPr>
              <w:t>2.929,93</w:t>
            </w:r>
          </w:p>
        </w:tc>
      </w:tr>
    </w:tbl>
    <w:p w:rsidR="008C6BB5" w:rsidRPr="008C6BB5" w:rsidRDefault="008C6BB5" w:rsidP="008C6BB5">
      <w:pPr>
        <w:pStyle w:val="Corpodetexto"/>
        <w:rPr>
          <w:rFonts w:asciiTheme="minorHAnsi" w:hAnsiTheme="minorHAnsi" w:cstheme="minorHAnsi"/>
          <w:b/>
          <w:sz w:val="22"/>
        </w:rPr>
      </w:pPr>
    </w:p>
    <w:p w:rsidR="008C6BB5" w:rsidRDefault="008C6BB5" w:rsidP="008C6BB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C6BB5" w:rsidRPr="008C6BB5" w:rsidRDefault="008C6BB5" w:rsidP="008C6BB5">
      <w:pPr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Pr="008C6BB5">
        <w:rPr>
          <w:rFonts w:asciiTheme="minorHAnsi" w:hAnsiTheme="minorHAnsi" w:cs="Arial"/>
          <w:sz w:val="24"/>
          <w:szCs w:val="24"/>
        </w:rPr>
        <w:tab/>
        <w:t>Revogadas as disposições em contrário, esta Lei entrará em vigor com data retroativa a 01 de março de 2023.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A5588" w:rsidRDefault="003A5588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0659E" w:rsidRDefault="0040659E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C6BB5" w:rsidRDefault="008C6BB5" w:rsidP="001A40F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6BB5" w:rsidRDefault="008C6BB5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659E" w:rsidRDefault="0040659E" w:rsidP="0040659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0659E" w:rsidRPr="00927656" w:rsidRDefault="0040659E" w:rsidP="0040659E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Pr="00D923EC" w:rsidRDefault="0040659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sectPr w:rsidR="0040659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E4" w:rsidRDefault="00E969E4" w:rsidP="006B02EF">
      <w:r>
        <w:separator/>
      </w:r>
    </w:p>
  </w:endnote>
  <w:endnote w:type="continuationSeparator" w:id="0">
    <w:p w:rsidR="00E969E4" w:rsidRDefault="00E969E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C6BB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C6BB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C6BB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C6BB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E4" w:rsidRDefault="00E969E4" w:rsidP="006B02EF">
      <w:r>
        <w:separator/>
      </w:r>
    </w:p>
  </w:footnote>
  <w:footnote w:type="continuationSeparator" w:id="0">
    <w:p w:rsidR="00E969E4" w:rsidRDefault="00E969E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5FC8"/>
    <w:multiLevelType w:val="hybridMultilevel"/>
    <w:tmpl w:val="8A346292"/>
    <w:lvl w:ilvl="0" w:tplc="E3DC1D9E">
      <w:start w:val="1"/>
      <w:numFmt w:val="upperRoman"/>
      <w:lvlText w:val="%1"/>
      <w:lvlJc w:val="left"/>
      <w:pPr>
        <w:ind w:left="2481" w:hanging="111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t-PT" w:eastAsia="en-US" w:bidi="ar-SA"/>
      </w:rPr>
    </w:lvl>
    <w:lvl w:ilvl="1" w:tplc="9B8E2060">
      <w:numFmt w:val="bullet"/>
      <w:lvlText w:val="•"/>
      <w:lvlJc w:val="left"/>
      <w:pPr>
        <w:ind w:left="3204" w:hanging="111"/>
      </w:pPr>
      <w:rPr>
        <w:rFonts w:hint="default"/>
        <w:lang w:val="pt-PT" w:eastAsia="en-US" w:bidi="ar-SA"/>
      </w:rPr>
    </w:lvl>
    <w:lvl w:ilvl="2" w:tplc="63F89CEA">
      <w:numFmt w:val="bullet"/>
      <w:lvlText w:val="•"/>
      <w:lvlJc w:val="left"/>
      <w:pPr>
        <w:ind w:left="3929" w:hanging="111"/>
      </w:pPr>
      <w:rPr>
        <w:rFonts w:hint="default"/>
        <w:lang w:val="pt-PT" w:eastAsia="en-US" w:bidi="ar-SA"/>
      </w:rPr>
    </w:lvl>
    <w:lvl w:ilvl="3" w:tplc="4ABC7CBE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4" w:tplc="E7C29B90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5" w:tplc="85C410B6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5861F88">
      <w:numFmt w:val="bullet"/>
      <w:lvlText w:val="•"/>
      <w:lvlJc w:val="left"/>
      <w:pPr>
        <w:ind w:left="6827" w:hanging="111"/>
      </w:pPr>
      <w:rPr>
        <w:rFonts w:hint="default"/>
        <w:lang w:val="pt-PT" w:eastAsia="en-US" w:bidi="ar-SA"/>
      </w:rPr>
    </w:lvl>
    <w:lvl w:ilvl="7" w:tplc="05748568">
      <w:numFmt w:val="bullet"/>
      <w:lvlText w:val="•"/>
      <w:lvlJc w:val="left"/>
      <w:pPr>
        <w:ind w:left="7552" w:hanging="111"/>
      </w:pPr>
      <w:rPr>
        <w:rFonts w:hint="default"/>
        <w:lang w:val="pt-PT" w:eastAsia="en-US" w:bidi="ar-SA"/>
      </w:rPr>
    </w:lvl>
    <w:lvl w:ilvl="8" w:tplc="77A20362">
      <w:numFmt w:val="bullet"/>
      <w:lvlText w:val="•"/>
      <w:lvlJc w:val="left"/>
      <w:pPr>
        <w:ind w:left="8277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2A6F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558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59E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12D71"/>
    <w:rsid w:val="007213E6"/>
    <w:rsid w:val="00737A7E"/>
    <w:rsid w:val="0075384A"/>
    <w:rsid w:val="00757248"/>
    <w:rsid w:val="007602C8"/>
    <w:rsid w:val="00761CFC"/>
    <w:rsid w:val="00761F98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948"/>
    <w:rsid w:val="00827BEE"/>
    <w:rsid w:val="00834D0D"/>
    <w:rsid w:val="00835116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92A"/>
    <w:rsid w:val="008B01D3"/>
    <w:rsid w:val="008C1BF7"/>
    <w:rsid w:val="008C590F"/>
    <w:rsid w:val="008C6BB5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314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040C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969E4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82F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B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BB5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BD37-5DBA-470E-9ABE-A7DCC744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14</cp:revision>
  <cp:lastPrinted>2023-03-23T13:45:00Z</cp:lastPrinted>
  <dcterms:created xsi:type="dcterms:W3CDTF">2023-01-12T13:07:00Z</dcterms:created>
  <dcterms:modified xsi:type="dcterms:W3CDTF">2023-04-05T14:54:00Z</dcterms:modified>
</cp:coreProperties>
</file>